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5901B0" w:rsidRPr="002F40EA" w:rsidP="005901B0">
      <w:pPr>
        <w:ind w:left="540" w:right="419"/>
        <w:rPr>
          <w:b/>
          <w:color w:val="AF272F"/>
          <w:sz w:val="36"/>
          <w:szCs w:val="44"/>
          <w:lang w:val="en-AU"/>
        </w:rPr>
      </w:pPr>
      <w:r w:rsidRPr="002F40EA">
        <w:rPr>
          <w:b/>
          <w:color w:val="AF272F"/>
          <w:sz w:val="36"/>
          <w:szCs w:val="44"/>
          <w:lang w:val="en-AU"/>
        </w:rPr>
        <w:t xml:space="preserve">Annual Implementation Plan - </w:t>
      </w:r>
      <w:r w:rsidRPr="002F40EA">
        <w:rPr>
          <w:b/>
          <w:noProof/>
          <w:color w:val="AF272F"/>
          <w:sz w:val="36"/>
          <w:szCs w:val="36"/>
          <w:lang w:val="en-AU"/>
        </w:rPr>
        <w:t>2025</w:t>
      </w:r>
    </w:p>
    <w:p w:rsidR="00843995" w:rsidRPr="002F40EA" w:rsidP="00704A32">
      <w:pPr>
        <w:ind w:left="540" w:right="419"/>
        <w:rPr>
          <w:b/>
          <w:color w:val="AF272F"/>
          <w:sz w:val="32"/>
          <w:szCs w:val="32"/>
          <w:lang w:val="en-AU"/>
        </w:rPr>
      </w:pPr>
      <w:r w:rsidRPr="002F40EA">
        <w:rPr>
          <w:b/>
          <w:color w:val="AF272F"/>
          <w:sz w:val="32"/>
          <w:szCs w:val="32"/>
          <w:lang w:val="en-AU"/>
        </w:rPr>
        <w:t xml:space="preserve">Define </w:t>
      </w:r>
      <w:r w:rsidRPr="002F40EA" w:rsidR="00802D4E">
        <w:rPr>
          <w:b/>
          <w:color w:val="AF272F"/>
          <w:sz w:val="32"/>
          <w:szCs w:val="32"/>
          <w:lang w:val="en-AU"/>
        </w:rPr>
        <w:t>a</w:t>
      </w:r>
      <w:r w:rsidRPr="002F40EA" w:rsidR="00421A18">
        <w:rPr>
          <w:b/>
          <w:color w:val="AF272F"/>
          <w:sz w:val="32"/>
          <w:szCs w:val="32"/>
          <w:lang w:val="en-AU"/>
        </w:rPr>
        <w:t xml:space="preserve">ctions, </w:t>
      </w:r>
      <w:r w:rsidRPr="002F40EA" w:rsidR="00802D4E">
        <w:rPr>
          <w:b/>
          <w:color w:val="AF272F"/>
          <w:sz w:val="32"/>
          <w:szCs w:val="32"/>
          <w:lang w:val="en-AU"/>
        </w:rPr>
        <w:t>o</w:t>
      </w:r>
      <w:r w:rsidRPr="002F40EA" w:rsidR="00421A18">
        <w:rPr>
          <w:b/>
          <w:color w:val="AF272F"/>
          <w:sz w:val="32"/>
          <w:szCs w:val="32"/>
          <w:lang w:val="en-AU"/>
        </w:rPr>
        <w:t>utcomes</w:t>
      </w:r>
      <w:r w:rsidRPr="002F40EA" w:rsidR="00802D4E">
        <w:rPr>
          <w:b/>
          <w:color w:val="AF272F"/>
          <w:sz w:val="32"/>
          <w:szCs w:val="32"/>
          <w:lang w:val="en-AU"/>
        </w:rPr>
        <w:t>, success indicators</w:t>
      </w:r>
      <w:r w:rsidRPr="002F40EA" w:rsidR="00421A18">
        <w:rPr>
          <w:b/>
          <w:color w:val="AF272F"/>
          <w:sz w:val="32"/>
          <w:szCs w:val="32"/>
          <w:lang w:val="en-AU"/>
        </w:rPr>
        <w:t xml:space="preserve"> and</w:t>
      </w:r>
      <w:r w:rsidRPr="002F40EA">
        <w:rPr>
          <w:b/>
          <w:color w:val="AF272F"/>
          <w:sz w:val="32"/>
          <w:szCs w:val="32"/>
          <w:lang w:val="en-AU"/>
        </w:rPr>
        <w:t xml:space="preserve"> </w:t>
      </w:r>
      <w:r w:rsidRPr="002F40EA" w:rsidR="00802D4E">
        <w:rPr>
          <w:b/>
          <w:color w:val="AF272F"/>
          <w:sz w:val="32"/>
          <w:szCs w:val="32"/>
          <w:lang w:val="en-AU"/>
        </w:rPr>
        <w:t>a</w:t>
      </w:r>
      <w:r w:rsidRPr="002F40EA">
        <w:rPr>
          <w:b/>
          <w:color w:val="AF272F"/>
          <w:sz w:val="32"/>
          <w:szCs w:val="32"/>
          <w:lang w:val="en-AU"/>
        </w:rPr>
        <w:t>ctivities</w:t>
      </w:r>
    </w:p>
    <w:p w:rsidR="00843995" w:rsidRPr="002F40EA" w:rsidP="00696980">
      <w:pPr>
        <w:pStyle w:val="ESIntroParagraph"/>
        <w:ind w:left="-567" w:right="1247" w:firstLine="1107"/>
        <w:rPr>
          <w:color w:val="595959" w:themeColor="text1" w:themeTint="A6"/>
          <w:lang w:val="en-AU"/>
        </w:rPr>
      </w:pPr>
      <w:r w:rsidRPr="002F40EA">
        <w:rPr>
          <w:noProof/>
          <w:color w:val="595959" w:themeColor="text1" w:themeTint="A6"/>
          <w:lang w:val="en-AU"/>
        </w:rPr>
        <w:t>Dorset Primary School (5132)</w:t>
      </w:r>
    </w:p>
    <w:p w:rsidR="00843995" w:rsidRPr="002F40EA" w:rsidP="00AF3BC2">
      <w:pPr>
        <w:pStyle w:val="ESIntroParagraph"/>
        <w:ind w:left="-562" w:right="4334"/>
        <w:rPr>
          <w:lang w:val="en-AU"/>
        </w:rPr>
      </w:pPr>
    </w:p>
    <w:p w:rsidR="00843995" w:rsidRPr="002F40EA" w:rsidP="00D84C0F">
      <w:pPr>
        <w:pStyle w:val="Heading1"/>
        <w:ind w:left="-567"/>
        <w:rPr>
          <w:lang w:val="en-AU"/>
        </w:rPr>
      </w:pPr>
    </w:p>
    <w:p w:rsidR="000B4FFD" w:rsidRPr="002F40EA" w:rsidP="00CB0768">
      <w:pPr>
        <w:pStyle w:val="ESHeading2"/>
        <w:jc w:val="center"/>
        <w:rPr>
          <w:b w:val="0"/>
          <w:sz w:val="44"/>
          <w:szCs w:val="44"/>
          <w:lang w:val="en-AU"/>
        </w:rPr>
      </w:pPr>
    </w:p>
    <w:p w:rsidR="00EC5878" w:rsidRPr="002F40EA" w:rsidP="00CB0768">
      <w:pPr>
        <w:pStyle w:val="ESHeading2"/>
        <w:jc w:val="center"/>
        <w:rPr>
          <w:b w:val="0"/>
          <w:sz w:val="44"/>
          <w:szCs w:val="44"/>
          <w:lang w:val="en-AU"/>
        </w:rPr>
      </w:pPr>
    </w:p>
    <w:p w:rsidR="00BA5195" w:rsidRPr="002F40EA" w:rsidP="00CB0768">
      <w:pPr>
        <w:pStyle w:val="ESHeading2"/>
        <w:jc w:val="center"/>
        <w:rPr>
          <w:lang w:val="en-AU"/>
        </w:rPr>
      </w:pPr>
      <w:r w:rsidRPr="002F40EA">
        <w:rPr>
          <w:b w:val="0"/>
          <w:noProof/>
          <w:sz w:val="44"/>
          <w:szCs w:val="44"/>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1803400" cy="1803400"/>
            <wp:wrapNone/>
            <wp:docPr id="100019" name=""/>
            <wp:cNvGraphicFramePr/>
            <a:graphic xmlns:a="http://schemas.openxmlformats.org/drawingml/2006/main">
              <a:graphicData uri="http://schemas.openxmlformats.org/drawingml/2006/picture">
                <pic:pic xmlns:pic="http://schemas.openxmlformats.org/drawingml/2006/picture">
                  <pic:nvPicPr>
                    <pic:cNvPr id="100019" name=""/>
                    <pic:cNvPicPr/>
                  </pic:nvPicPr>
                  <pic:blipFill>
                    <a:blip xmlns:r="http://schemas.openxmlformats.org/officeDocument/2006/relationships" r:embed="rId9"/>
                    <a:stretch>
                      <a:fillRect/>
                    </a:stretch>
                  </pic:blipFill>
                  <pic:spPr>
                    <a:xfrm>
                      <a:off x="0" y="0"/>
                      <a:ext cx="1803400" cy="1803400"/>
                    </a:xfrm>
                    <a:prstGeom prst="rect">
                      <a:avLst/>
                    </a:prstGeom>
                  </pic:spPr>
                </pic:pic>
              </a:graphicData>
            </a:graphic>
          </wp:anchor>
        </w:drawing>
      </w:r>
    </w:p>
    <w:p w:rsidR="00CB0768" w:rsidRPr="002F40EA" w:rsidP="00A5212F">
      <w:pPr>
        <w:pStyle w:val="ESBodyText"/>
        <w:rPr>
          <w:lang w:val="en-AU"/>
        </w:rPr>
        <w:sectPr w:rsidSect="00E36291">
          <w:headerReference w:type="even" r:id="rId10"/>
          <w:headerReference w:type="default" r:id="rId11"/>
          <w:footerReference w:type="even" r:id="rId12"/>
          <w:footerReference w:type="default" r:id="rId13"/>
          <w:headerReference w:type="first" r:id="rId14"/>
          <w:pgSz w:w="11906" w:h="16838"/>
          <w:pgMar w:top="1005" w:right="737" w:bottom="1304" w:left="562" w:header="624" w:footer="1134" w:gutter="0"/>
          <w:cols w:space="397"/>
          <w:docGrid w:linePitch="360"/>
        </w:sectPr>
      </w:pPr>
      <w:r w:rsidRPr="002F40EA">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100330</wp:posOffset>
                </wp:positionH>
                <wp:positionV relativeFrom="bottomMargin">
                  <wp:posOffset>-1260475</wp:posOffset>
                </wp:positionV>
                <wp:extent cx="9773920" cy="1134110"/>
                <wp:effectExtent l="0" t="0" r="0" b="889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rsidR="00A5212F" w:rsidP="00A5212F">
                            <w:pPr>
                              <w:pStyle w:val="ESBodyText"/>
                            </w:pPr>
                            <w:r>
                              <w:rPr>
                                <w:noProof/>
                              </w:rPr>
                              <w:t>Submitted for review by Palma Coppa (School Principal) on 12 December, 2024 at 11:36 AM</w:t>
                              <w:br/>
                              <w:t>Endorsed by Mary Azer (Senior Education Improvement Leader) on 06 June, 2025 at 12:32 PM</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A5212F" w:rsidP="00A5212F">
                      <w:pPr>
                        <w:pStyle w:val="ESBodyText"/>
                      </w:pPr>
                      <w:r>
                        <w:rPr>
                          <w:noProof/>
                        </w:rPr>
                        <w:t>Submitted for review by Palma Coppa (School Principal) on 12 December, 2024 at 11:36 AM</w:t>
                        <w:br/>
                        <w:t>Endorsed by Mary Azer (Senior Education Improvement Leader) on 06 June, 2025 at 12:32 PM</w:t>
                        <w:br/>
                      </w:r>
                    </w:p>
                  </w:txbxContent>
                </v:textbox>
                <w10:wrap anchorx="margin"/>
                <w10:anchorlock/>
              </v:shape>
            </w:pict>
          </mc:Fallback>
        </mc:AlternateContent>
      </w:r>
    </w:p>
    <w:p w:rsidR="006307C3" w:rsidRPr="002F40EA" w:rsidP="006C7A56">
      <w:pPr>
        <w:ind w:right="-542"/>
        <w:rPr>
          <w:b/>
          <w:color w:val="AF272F"/>
          <w:sz w:val="32"/>
          <w:szCs w:val="32"/>
          <w:lang w:val="en-AU"/>
        </w:rPr>
      </w:pPr>
      <w:r w:rsidRPr="002F40EA">
        <w:rPr>
          <w:b/>
          <w:color w:val="AF272F"/>
          <w:sz w:val="32"/>
          <w:szCs w:val="32"/>
          <w:lang w:val="en-AU"/>
        </w:rPr>
        <w:t xml:space="preserve">Define </w:t>
      </w:r>
      <w:r w:rsidRPr="002F40EA" w:rsidR="00802D4E">
        <w:rPr>
          <w:b/>
          <w:color w:val="AF272F"/>
          <w:sz w:val="32"/>
          <w:szCs w:val="32"/>
          <w:lang w:val="en-AU"/>
        </w:rPr>
        <w:t>a</w:t>
      </w:r>
      <w:r w:rsidRPr="002F40EA" w:rsidR="00510C5D">
        <w:rPr>
          <w:b/>
          <w:color w:val="AF272F"/>
          <w:sz w:val="32"/>
          <w:szCs w:val="32"/>
          <w:lang w:val="en-AU"/>
        </w:rPr>
        <w:t xml:space="preserve">ctions, </w:t>
      </w:r>
      <w:r w:rsidRPr="002F40EA" w:rsidR="00802D4E">
        <w:rPr>
          <w:b/>
          <w:color w:val="AF272F"/>
          <w:sz w:val="32"/>
          <w:szCs w:val="32"/>
          <w:lang w:val="en-AU"/>
        </w:rPr>
        <w:t>o</w:t>
      </w:r>
      <w:r w:rsidRPr="002F40EA" w:rsidR="00510C5D">
        <w:rPr>
          <w:b/>
          <w:color w:val="AF272F"/>
          <w:sz w:val="32"/>
          <w:szCs w:val="32"/>
          <w:lang w:val="en-AU"/>
        </w:rPr>
        <w:t>utcomes</w:t>
      </w:r>
      <w:r w:rsidRPr="002F40EA" w:rsidR="00802D4E">
        <w:rPr>
          <w:b/>
          <w:color w:val="AF272F"/>
          <w:sz w:val="32"/>
          <w:szCs w:val="32"/>
          <w:lang w:val="en-AU"/>
        </w:rPr>
        <w:t>, success indicators</w:t>
      </w:r>
      <w:r w:rsidRPr="002F40EA" w:rsidR="00510C5D">
        <w:rPr>
          <w:b/>
          <w:color w:val="AF272F"/>
          <w:sz w:val="32"/>
          <w:szCs w:val="32"/>
          <w:lang w:val="en-AU"/>
        </w:rPr>
        <w:t xml:space="preserve"> and</w:t>
      </w:r>
      <w:r w:rsidRPr="002F40EA" w:rsidR="008846DA">
        <w:rPr>
          <w:b/>
          <w:color w:val="AF272F"/>
          <w:sz w:val="32"/>
          <w:szCs w:val="32"/>
          <w:lang w:val="en-AU"/>
        </w:rPr>
        <w:t xml:space="preserve"> </w:t>
      </w:r>
      <w:r w:rsidRPr="002F40EA" w:rsidR="00802D4E">
        <w:rPr>
          <w:b/>
          <w:color w:val="AF272F"/>
          <w:sz w:val="32"/>
          <w:szCs w:val="32"/>
          <w:lang w:val="en-AU"/>
        </w:rPr>
        <w:t>a</w:t>
      </w:r>
      <w:r w:rsidRPr="002F40EA" w:rsidR="00ED5CB1">
        <w:rPr>
          <w:b/>
          <w:color w:val="AF272F"/>
          <w:sz w:val="32"/>
          <w:szCs w:val="32"/>
          <w:lang w:val="en-AU"/>
        </w:rPr>
        <w:t>ctivities</w:t>
      </w:r>
    </w:p>
    <w:p w:rsidR="005539D1" w:rsidRPr="002F40EA" w:rsidP="00C259B6">
      <w:pPr>
        <w:pStyle w:val="ESIntroParagraph"/>
        <w:ind w:left="-567" w:right="4330" w:firstLine="567"/>
        <w:rPr>
          <w:color w:val="AF272F"/>
          <w:sz w:val="20"/>
          <w:szCs w:val="20"/>
          <w:lang w:val="en-AU"/>
        </w:rPr>
      </w:pPr>
    </w:p>
    <w:tbl>
      <w:tblPr>
        <w:tblStyle w:val="TableGrid"/>
        <w:tblW w:w="15115" w:type="dxa"/>
        <w:tblCellMar>
          <w:top w:w="115" w:type="dxa"/>
          <w:left w:w="115" w:type="dxa"/>
          <w:bottom w:w="115" w:type="dxa"/>
          <w:right w:w="115" w:type="dxa"/>
        </w:tblCellMar>
        <w:tblLook w:val="04A0"/>
      </w:tblPr>
      <w:tblGrid>
        <w:gridCol w:w="3119"/>
        <w:gridCol w:w="3086"/>
        <w:gridCol w:w="3150"/>
        <w:gridCol w:w="1530"/>
        <w:gridCol w:w="2070"/>
        <w:gridCol w:w="2160"/>
      </w:tblGrid>
      <w:tr w:rsidTr="00FA4D4A">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b/>
                <w:sz w:val="24"/>
                <w:szCs w:val="24"/>
                <w:lang w:val="en-AU"/>
              </w:rPr>
              <w:t>Goal 1</w:t>
            </w:r>
          </w:p>
        </w:tc>
        <w:tc>
          <w:tcPr>
            <w:tcW w:w="11996" w:type="dxa"/>
            <w:gridSpan w:val="5"/>
            <w:shd w:val="clear" w:color="auto" w:fill="D9D9D9" w:themeFill="background1" w:themeFillShade="D9"/>
          </w:tcPr>
          <w:p w:rsidR="00973DEE" w:rsidRPr="002F40EA" w:rsidP="00FE3D5C">
            <w:pPr>
              <w:pStyle w:val="ESBodyText"/>
              <w:spacing w:after="0"/>
              <w:rPr>
                <w:rFonts w:ascii="Arial" w:eastAsia="Arial" w:hAnsi="Arial" w:cs="Arial"/>
                <w:b w:val="0"/>
                <w:color w:val="auto"/>
                <w:sz w:val="22"/>
                <w:szCs w:val="24"/>
                <w:lang w:val="en-AU"/>
              </w:rPr>
            </w:pPr>
            <w:r w:rsidRPr="002F40EA">
              <w:rPr>
                <w:rStyle w:val="DefaultParagraphFont"/>
                <w:rFonts w:ascii="Arial" w:eastAsia="Arial" w:hAnsi="Arial" w:cs="Arial"/>
                <w:b w:val="0"/>
                <w:color w:val="auto"/>
                <w:sz w:val="22"/>
                <w:szCs w:val="24"/>
              </w:rPr>
              <w:t>Maximise student learning growth and achievement in literacy and numeracy.</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sz w:val="22"/>
                <w:szCs w:val="24"/>
                <w:lang w:val="en-AU"/>
              </w:rPr>
              <w:t>12-month target 1.1</w:t>
            </w:r>
            <w:r w:rsidRPr="002F40EA" w:rsidR="008415C6">
              <w:rPr>
                <w:szCs w:val="24"/>
                <w:lang w:val="en-AU"/>
              </w:rPr>
              <w:t xml:space="preserve"> </w:t>
            </w:r>
          </w:p>
        </w:tc>
        <w:tc>
          <w:tcPr>
            <w:tcW w:w="11996" w:type="dxa"/>
            <w:gridSpan w:val="5"/>
            <w:shd w:val="clear" w:color="auto" w:fill="D9D9D9" w:themeFill="background1" w:themeFillShade="D9"/>
            <w:noWrap w:val="0"/>
          </w:tcPr>
          <w:p w:rsidR="00973DEE" w:rsidRPr="002F40EA" w:rsidP="00FE3D5C">
            <w:pPr>
              <w:pStyle w:val="ESBodyText"/>
              <w:spacing w:after="0"/>
              <w:rPr>
                <w:sz w:val="20"/>
                <w:szCs w:val="24"/>
                <w:lang w:val="en-AU"/>
              </w:rPr>
            </w:pPr>
            <w:r>
              <w:rPr>
                <w:rFonts w:ascii="Arial" w:eastAsia="Arial" w:hAnsi="Arial" w:cs="Arial"/>
                <w:sz w:val="22"/>
              </w:rPr>
              <w:t>Year 3 reading from 29% to 31%</w:t>
              <w:br/>
              <w:t>Year 3 numeracy from 12% to 22%</w:t>
              <w:br/>
              <w:t>Year 5 reading from 29% to 31%</w:t>
              <w:br/>
              <w:t>Year 5 numeracy from 22% to 24%.</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sz w:val="22"/>
                <w:szCs w:val="24"/>
                <w:lang w:val="en-AU"/>
              </w:rPr>
              <w:t>12-month target 1.2</w:t>
            </w:r>
            <w:r w:rsidRPr="002F40EA" w:rsidR="008415C6">
              <w:rPr>
                <w:szCs w:val="24"/>
                <w:lang w:val="en-AU"/>
              </w:rPr>
              <w:t xml:space="preserve"> </w:t>
            </w:r>
          </w:p>
        </w:tc>
        <w:tc>
          <w:tcPr>
            <w:tcW w:w="11996" w:type="dxa"/>
            <w:gridSpan w:val="5"/>
            <w:shd w:val="clear" w:color="auto" w:fill="D9D9D9" w:themeFill="background1" w:themeFillShade="D9"/>
            <w:noWrap w:val="0"/>
          </w:tcPr>
          <w:p w:rsidR="00973DEE" w:rsidRPr="002F40EA" w:rsidP="00FE3D5C">
            <w:pPr>
              <w:pStyle w:val="ESBodyText"/>
              <w:spacing w:after="0"/>
              <w:rPr>
                <w:sz w:val="20"/>
                <w:szCs w:val="24"/>
                <w:lang w:val="en-AU"/>
              </w:rPr>
            </w:pPr>
            <w:r>
              <w:rPr>
                <w:rFonts w:ascii="Arial" w:eastAsia="Arial" w:hAnsi="Arial" w:cs="Arial"/>
                <w:sz w:val="22"/>
              </w:rPr>
              <w:t>Reading and viewing to increase from 49% to 55%</w:t>
              <w:br/>
              <w:t>Number and algebra to increase from 46% to 52%.</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sz w:val="22"/>
                <w:szCs w:val="24"/>
                <w:lang w:val="en-AU"/>
              </w:rPr>
              <w:t>12-month target 1.3</w:t>
            </w:r>
            <w:r w:rsidRPr="002F40EA" w:rsidR="008415C6">
              <w:rPr>
                <w:szCs w:val="24"/>
                <w:lang w:val="en-AU"/>
              </w:rPr>
              <w:t xml:space="preserve"> </w:t>
            </w:r>
          </w:p>
        </w:tc>
        <w:tc>
          <w:tcPr>
            <w:tcW w:w="11996" w:type="dxa"/>
            <w:gridSpan w:val="5"/>
            <w:shd w:val="clear" w:color="auto" w:fill="D9D9D9" w:themeFill="background1" w:themeFillShade="D9"/>
            <w:noWrap w:val="0"/>
          </w:tcPr>
          <w:p w:rsidR="00973DEE" w:rsidRPr="002F40EA" w:rsidP="00FE3D5C">
            <w:pPr>
              <w:pStyle w:val="ESBodyText"/>
              <w:spacing w:after="0"/>
              <w:rPr>
                <w:sz w:val="20"/>
                <w:szCs w:val="24"/>
                <w:lang w:val="en-AU"/>
              </w:rPr>
            </w:pPr>
            <w:r>
              <w:rPr>
                <w:rFonts w:ascii="Arial" w:eastAsia="Arial" w:hAnsi="Arial" w:cs="Arial"/>
                <w:sz w:val="22"/>
              </w:rPr>
              <w:t>Academic emphasis to increase from 83% to 85%</w:t>
              <w:br/>
              <w:t>Trust in colleagues from 79% to 81%</w:t>
              <w:br/>
              <w:t>Understand how to analyse data from 90% to 92%.</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FFD062"/>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1.b</w:t>
            </w:r>
          </w:p>
          <w:p>
            <w:r>
              <w:rPr>
                <w:rFonts w:ascii="Arial" w:eastAsia="Arial" w:hAnsi="Arial" w:cs="Arial"/>
                <w:sz w:val="22"/>
              </w:rPr>
              <w:t>The strategic direction and deployment of resources to create and reflect shared goals and values; high expectations; and a positive, safe and orderly learning environment</w:t>
            </w:r>
          </w:p>
        </w:tc>
        <w:tc>
          <w:tcPr>
            <w:tcW w:w="11996" w:type="dxa"/>
            <w:gridSpan w:val="5"/>
            <w:shd w:val="clear" w:color="auto" w:fill="FFD062"/>
            <w:noWrap w:val="0"/>
          </w:tcPr>
          <w:p w:rsidR="00973DEE" w:rsidRPr="002F40EA" w:rsidP="00FE3D5C">
            <w:pPr>
              <w:pStyle w:val="ESBodyText"/>
              <w:spacing w:after="0"/>
              <w:rPr>
                <w:sz w:val="20"/>
                <w:szCs w:val="24"/>
                <w:lang w:val="en-AU"/>
              </w:rPr>
            </w:pPr>
            <w:r>
              <w:rPr>
                <w:rFonts w:ascii="Arial" w:eastAsia="Arial" w:hAnsi="Arial" w:cs="Arial"/>
                <w:sz w:val="22"/>
              </w:rPr>
              <w:t>Strengthen a consistent whole school approach to high quality instructional practice.</w:t>
            </w:r>
          </w:p>
        </w:tc>
      </w:tr>
      <w:tr w:rsidTr="005D3D69">
        <w:tblPrEx>
          <w:tblW w:w="1511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96" w:type="dxa"/>
            <w:gridSpan w:val="5"/>
            <w:noWrap w:val="0"/>
          </w:tcPr>
          <w:p w:rsidR="003E1FC6" w:rsidRPr="002F40EA" w:rsidP="00AF3BC2">
            <w:pPr>
              <w:pStyle w:val="ESBodyText"/>
              <w:spacing w:after="0"/>
              <w:rPr>
                <w:sz w:val="20"/>
                <w:szCs w:val="24"/>
                <w:lang w:val="en-AU"/>
              </w:rPr>
            </w:pPr>
            <w:r>
              <w:rPr>
                <w:rFonts w:ascii="Arial" w:eastAsia="Arial" w:hAnsi="Arial" w:cs="Arial"/>
                <w:sz w:val="22"/>
              </w:rPr>
              <w:t>Reading</w:t>
              <w:br/>
              <w:t>•</w:t>
              <w:tab/>
              <w:t>Strengthen teachers’ understanding and ability to triangulate reading data, including Running Records, Probe, PAT, and anecdotal notes, ensuring consistent and accurate judgements.</w:t>
              <w:br/>
              <w:t>•</w:t>
              <w:tab/>
              <w:t>Enhance teacher capacity in administering both Probe and Running Records effectively.</w:t>
              <w:br/>
              <w:t>•</w:t>
              <w:tab/>
              <w:t>Support teachers in analysing reading data and using it strategically to guide future student learning.</w:t>
              <w:br/>
              <w:t>•</w:t>
              <w:tab/>
              <w:t>Provide opportunities for staff to build their skills through the use of High Impact Teaching Strategies (e.g., 1. Goal Setting, 7. Questioning, 8. Feedback, 9. Metacognitive strategies).</w:t>
              <w:br/>
              <w:t>•</w:t>
              <w:tab/>
              <w:t>Develop a detailed plan outlining how the school's expertise will be utilised to monitor, model, coach, and assist teachers in implementing the instructional model.</w:t>
              <w:br/>
              <w:t>•</w:t>
              <w:tab/>
              <w:t>Prepare a strategic approach to incorporate the new English 2.0 Curriculum seamlessly.</w:t>
              <w:br/>
              <w:t>•</w:t>
              <w:tab/>
              <w:t>Track progress through multiple sources of data to ensure ongoing improvement.</w:t>
              <w:br/>
              <w:t>Maths</w:t>
              <w:br/>
              <w:t>•</w:t>
              <w:tab/>
              <w:t>Integrate the use of Rich Assessment Tasks and develop teachers’ ability to use the resulting data to inform targeted teaching.</w:t>
              <w:br/>
              <w:t>•</w:t>
              <w:tab/>
              <w:t>Encourage the use of LFHC (low-floor-high-ceiling) tasks to foster engagement, challenge, and student agency.</w:t>
              <w:br/>
              <w:t>•</w:t>
              <w:tab/>
              <w:t>Examine school-wide data to identify areas where coaching and mentoring are needed.</w:t>
              <w:br/>
              <w:t>•</w:t>
              <w:tab/>
              <w:t>Use data analysis to help teachers recognise trends and patterns in student outcomes.</w:t>
              <w:br/>
              <w:t>•</w:t>
              <w:tab/>
              <w:t>Continue holding school-wide Maths days to inspire a love for mathematics.</w:t>
              <w:br/>
              <w:t>•</w:t>
              <w:tab/>
              <w:t>Review planning documents to ensure the delivery of high-quality learning, with a focus on maintaining appropriate challenge levels for students.</w:t>
              <w:br/>
              <w:t>•</w:t>
              <w:tab/>
              <w:t>Review scope and sequence of lessons through the junior and senior school.</w:t>
            </w:r>
          </w:p>
        </w:tc>
      </w:tr>
      <w:tr w:rsidTr="005D3D69">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973DEE" w:rsidRPr="002F40EA" w:rsidP="00AF3BC2">
            <w:pPr>
              <w:pStyle w:val="ESBodyText"/>
              <w:spacing w:after="0"/>
              <w:rPr>
                <w:b/>
                <w:sz w:val="20"/>
                <w:szCs w:val="24"/>
                <w:lang w:val="en-AU"/>
              </w:rPr>
            </w:pPr>
            <w:r w:rsidRPr="002F40EA">
              <w:rPr>
                <w:b/>
                <w:sz w:val="20"/>
                <w:szCs w:val="24"/>
                <w:lang w:val="en-AU"/>
              </w:rPr>
              <w:t>Outcomes</w:t>
            </w:r>
          </w:p>
        </w:tc>
        <w:tc>
          <w:tcPr>
            <w:tcW w:w="11996" w:type="dxa"/>
            <w:gridSpan w:val="5"/>
            <w:noWrap w:val="0"/>
          </w:tcPr>
          <w:p w:rsidR="00973DEE" w:rsidRPr="002F40EA" w:rsidP="00AF3BC2">
            <w:pPr>
              <w:pStyle w:val="ESBodyText"/>
              <w:spacing w:after="0"/>
              <w:rPr>
                <w:sz w:val="20"/>
                <w:szCs w:val="24"/>
                <w:lang w:val="en-AU"/>
              </w:rPr>
            </w:pPr>
            <w:r>
              <w:rPr>
                <w:rFonts w:ascii="Arial" w:eastAsia="Arial" w:hAnsi="Arial" w:cs="Arial"/>
                <w:sz w:val="22"/>
              </w:rPr>
              <w:t>Students will:</w:t>
              <w:br/>
              <w:t>•</w:t>
              <w:tab/>
              <w:t>Demonstrate academic growth aligned with the goals outlined in the AIP.</w:t>
              <w:br/>
              <w:t>•</w:t>
              <w:tab/>
              <w:t>Clearly express their goals and how they plan to achieve them in a way that is age-appropriate.</w:t>
              <w:br/>
              <w:t>•</w:t>
              <w:tab/>
              <w:t>Report experiencing high levels of challenge in all subjects when interviewed in focus groups.</w:t>
              <w:br/>
              <w:t>Teachers will:</w:t>
              <w:br/>
              <w:t>•</w:t>
              <w:tab/>
              <w:t>Deliver well-planned lessons that align with the school-wide focus on Reading, Writing, and Maths.</w:t>
              <w:br/>
              <w:t>•</w:t>
              <w:tab/>
              <w:t>Show increased confidence in providing challenging learning experiences for students.</w:t>
              <w:br/>
              <w:t>•</w:t>
              <w:tab/>
              <w:t>Consistently implement the agreed assessment schedule.</w:t>
              <w:br/>
              <w:t>•</w:t>
              <w:tab/>
              <w:t>Use data to guide targeted, point-of-need teaching.</w:t>
              <w:br/>
              <w:t>•</w:t>
              <w:tab/>
              <w:t>Foster student agency by setting goals collaboratively with students.</w:t>
              <w:br/>
              <w:t>•</w:t>
              <w:tab/>
              <w:t>Participate regularly in informal team-teaching sessions.</w:t>
              <w:br/>
              <w:t>Leaders will:</w:t>
              <w:br/>
              <w:t>•</w:t>
              <w:tab/>
              <w:t>Develop high-quality professional development tailored to specific needs.</w:t>
              <w:br/>
              <w:t>•</w:t>
              <w:tab/>
              <w:t>Provide support by assigning coaches or mentors where required.</w:t>
              <w:br/>
              <w:t>•</w:t>
              <w:tab/>
              <w:t>Review planning documents and conduct walkthroughs to monitor practice.</w:t>
              <w:br/>
              <w:t>Parents will:</w:t>
              <w:br/>
              <w:t>•</w:t>
              <w:tab/>
              <w:t>Receive accurate updates on their child’s academic progress.</w:t>
              <w:br/>
              <w:t>•</w:t>
              <w:tab/>
              <w:t>Support teachers by promoting healthy homework routines at home.</w:t>
              <w:br/>
              <w:t>•</w:t>
              <w:tab/>
              <w:t>Report high satisfaction with the strength of the curriculum and their children’s engagement.</w:t>
            </w:r>
          </w:p>
        </w:tc>
      </w:tr>
      <w:tr w:rsidTr="005D3D69">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71379" w:rsidRPr="002F40EA" w:rsidP="00AF3BC2">
            <w:pPr>
              <w:pStyle w:val="ESBodyText"/>
              <w:spacing w:after="0"/>
              <w:rPr>
                <w:b/>
                <w:sz w:val="20"/>
                <w:szCs w:val="24"/>
                <w:lang w:val="en-AU"/>
              </w:rPr>
            </w:pPr>
            <w:r w:rsidRPr="002F40EA">
              <w:rPr>
                <w:b/>
                <w:sz w:val="20"/>
                <w:szCs w:val="24"/>
                <w:lang w:val="en-AU"/>
              </w:rPr>
              <w:t>Success Indicators</w:t>
            </w:r>
          </w:p>
        </w:tc>
        <w:tc>
          <w:tcPr>
            <w:tcW w:w="11996" w:type="dxa"/>
            <w:gridSpan w:val="5"/>
            <w:noWrap w:val="0"/>
          </w:tcPr>
          <w:p w:rsidR="00171379" w:rsidRPr="002F40EA" w:rsidP="00AF3BC2">
            <w:pPr>
              <w:pStyle w:val="ESBodyText"/>
              <w:spacing w:after="0"/>
              <w:rPr>
                <w:sz w:val="20"/>
                <w:szCs w:val="24"/>
                <w:lang w:val="en-AU"/>
              </w:rPr>
            </w:pPr>
            <w:r>
              <w:rPr>
                <w:rFonts w:ascii="Arial" w:eastAsia="Arial" w:hAnsi="Arial" w:cs="Arial"/>
                <w:sz w:val="22"/>
              </w:rPr>
              <w:t>•</w:t>
              <w:tab/>
              <w:t>Assessment data shows significant growth.</w:t>
              <w:br/>
              <w:t>•</w:t>
              <w:tab/>
              <w:t>Planning documents align with key school priorities.</w:t>
              <w:br/>
              <w:t>•</w:t>
              <w:tab/>
              <w:t>Teachers are utilising assessment tracking documentation.</w:t>
              <w:br/>
              <w:t>•</w:t>
              <w:tab/>
              <w:t>A higher percentage of targets are achieved in the June and December reporting periods.</w:t>
              <w:br/>
              <w:t>•</w:t>
              <w:tab/>
              <w:t>Walkthroughs reveal growing evidence of student challenge and engagement.</w:t>
            </w:r>
          </w:p>
        </w:tc>
      </w:tr>
      <w:tr w:rsidTr="006C7A56">
        <w:tblPrEx>
          <w:tblW w:w="15115" w:type="dxa"/>
          <w:tblCellMar>
            <w:top w:w="115" w:type="dxa"/>
            <w:left w:w="115" w:type="dxa"/>
            <w:bottom w:w="115" w:type="dxa"/>
            <w:right w:w="115" w:type="dxa"/>
          </w:tblCellMar>
          <w:tblLook w:val="04A0"/>
        </w:tblPrEx>
        <w:trPr>
          <w:trHeight w:val="549"/>
        </w:trPr>
        <w:tc>
          <w:tcPr>
            <w:tcW w:w="6205" w:type="dxa"/>
            <w:gridSpan w:val="2"/>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Activities</w:t>
            </w:r>
          </w:p>
        </w:tc>
        <w:tc>
          <w:tcPr>
            <w:tcW w:w="315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 xml:space="preserve">People </w:t>
            </w:r>
            <w:r w:rsidRPr="002F40EA" w:rsidR="00802D4E">
              <w:rPr>
                <w:szCs w:val="24"/>
                <w:lang w:val="en-AU"/>
              </w:rPr>
              <w:t>r</w:t>
            </w:r>
            <w:r w:rsidRPr="002F40EA">
              <w:rPr>
                <w:szCs w:val="24"/>
                <w:lang w:val="en-AU"/>
              </w:rPr>
              <w:t>esponsible</w:t>
            </w:r>
          </w:p>
        </w:tc>
        <w:tc>
          <w:tcPr>
            <w:tcW w:w="1530" w:type="dxa"/>
            <w:shd w:val="clear" w:color="auto" w:fill="D9D9D9" w:themeFill="background1" w:themeFillShade="D9"/>
          </w:tcPr>
          <w:p w:rsidR="003E1FC6" w:rsidRPr="002F40EA" w:rsidP="00103446">
            <w:pPr>
              <w:pStyle w:val="Heading3"/>
              <w:spacing w:before="0" w:after="0"/>
              <w:rPr>
                <w:szCs w:val="24"/>
                <w:lang w:val="en-AU"/>
              </w:rPr>
            </w:pPr>
            <w:r w:rsidRPr="002F40EA">
              <w:rPr>
                <w:szCs w:val="24"/>
                <w:lang w:val="en-AU"/>
              </w:rPr>
              <w:t xml:space="preserve">Is this a </w:t>
            </w:r>
            <w:r w:rsidRPr="002F40EA" w:rsidR="00103446">
              <w:rPr>
                <w:szCs w:val="24"/>
                <w:lang w:val="en-AU"/>
              </w:rPr>
              <w:t>PL</w:t>
            </w:r>
            <w:r w:rsidRPr="002F40EA">
              <w:rPr>
                <w:szCs w:val="24"/>
                <w:lang w:val="en-AU"/>
              </w:rPr>
              <w:t xml:space="preserve"> </w:t>
            </w:r>
            <w:r w:rsidRPr="002F40EA" w:rsidR="00802D4E">
              <w:rPr>
                <w:szCs w:val="24"/>
                <w:lang w:val="en-AU"/>
              </w:rPr>
              <w:t>p</w:t>
            </w:r>
            <w:r w:rsidRPr="002F40EA">
              <w:rPr>
                <w:szCs w:val="24"/>
                <w:lang w:val="en-AU"/>
              </w:rPr>
              <w:t>riority</w:t>
            </w:r>
          </w:p>
        </w:tc>
        <w:tc>
          <w:tcPr>
            <w:tcW w:w="207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When</w:t>
            </w:r>
          </w:p>
        </w:tc>
        <w:tc>
          <w:tcPr>
            <w:tcW w:w="216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Activity cost and funding streams</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Provide staffing and create opportunities for professional learning focused on key concepts such as High Impact Teaching Strategies, the four proficiencies, data analysis, and LFHC (Low Floor High Ceiling) rich tasks.</w:t>
              <w:br/>
              <w:t>Allocate equity funding based on student needs to support additional literacy development, particularly for students with a Koorie background.</w:t>
              <w:br/>
              <w:t>Assign Learning Specialists and KLAs to coach and support targeted point-of-need teaching, fostering instructional consistency and a cohesive pedagogical approach across the school. This will involve regular student shadowing to track growth.</w:t>
              <w:br/>
              <w:t>Monitor planning documents to ensure consistency and appropriate differentiation for students.</w:t>
              <w:br/>
              <w:t>Lead the creation of an action plan detailing how staff will be allocated and deployed.</w:t>
              <w:br/>
              <w:t>Provide funding for external presenters to deliver professional development sessions for staff.</w:t>
              <w:br/>
              <w:t>Facilitate leadership teams in conducting leadership skill analyses each term.</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$110,000.00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Equity funding will be used</w:t>
            </w:r>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Deliver professional development aligned with an established PD plan, demonstrating best practices on topics such as High Impact Teaching Strategies, the four proficiencies, data analysis, and LFHC (Low Floor High Ceiling) tasks.</w:t>
              <w:br/>
              <w:br/>
              <w:t>Develop an action plan detailing how the school's expertise will be utilised to monitor, model, coach, and support teachers in implementing these strategies.</w:t>
              <w:br/>
              <w:br/>
              <w:t>Review student outcome data in relation to specific targets while also examining annual survey data points, including AtoSS and Parent Opinion.</w:t>
              <w:br/>
              <w:br/>
              <w:t>Provide regular feedback to teachers regarding data, coaching, and planning efforts.</w:t>
              <w:br/>
              <w:br/>
              <w:t>Analyse planning documents to ensure that the challenge level is appropriately high for all students.</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$34,703.94</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Offer constructive feedback on planning documentation to enhance its effectiveness.</w:t>
              <w:br/>
              <w:br/>
              <w:t>Periodically audit weekly programs to ensure they maintain high-quality standards.</w:t>
              <w:br/>
              <w:br/>
              <w:t>Track the progress of Professional Learning Community (PLC) teams throughout the improvement cycle.</w:t>
              <w:br/>
              <w:br/>
              <w:t>Use key data sources to monitor overall progress effectively.</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KLA leader</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$15,000.00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Participate in Professional Practice days to encourage collaboration and development among staff.</w:t>
              <w:br/>
              <w:br/>
              <w:t>Focus on building capacity in high-quality teaching practices.</w:t>
              <w:br/>
              <w:br/>
              <w:t>Track student progress through our assessment schedule and classroom learning tasks.</w:t>
              <w:br/>
              <w:br/>
              <w:t>Foster a culture where all students are enthusiastic about learning and actively engage in the learning process.</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$15,000.00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58BFBD"/>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1.c</w:t>
            </w:r>
          </w:p>
          <w:p>
            <w:r>
              <w:rPr>
                <w:rFonts w:ascii="Arial" w:eastAsia="Arial" w:hAnsi="Arial" w:cs="Arial"/>
                <w:sz w:val="22"/>
              </w:rPr>
              <w:t>Documented teaching and learning program based on the Victorian Curriculum and senior secondary pathways, incorporating extra-curricula programs</w:t>
            </w:r>
          </w:p>
        </w:tc>
        <w:tc>
          <w:tcPr>
            <w:tcW w:w="11996" w:type="dxa"/>
            <w:gridSpan w:val="5"/>
            <w:shd w:val="clear" w:color="auto" w:fill="58BFBD"/>
            <w:noWrap w:val="0"/>
          </w:tcPr>
          <w:p w:rsidR="00973DEE" w:rsidRPr="002F40EA" w:rsidP="00FE3D5C">
            <w:pPr>
              <w:pStyle w:val="ESBodyText"/>
              <w:spacing w:after="0"/>
              <w:rPr>
                <w:sz w:val="20"/>
                <w:szCs w:val="24"/>
                <w:lang w:val="en-AU"/>
              </w:rPr>
            </w:pPr>
            <w:r>
              <w:rPr>
                <w:rFonts w:ascii="Arial" w:eastAsia="Arial" w:hAnsi="Arial" w:cs="Arial"/>
                <w:sz w:val="22"/>
              </w:rPr>
              <w:t>Build teacher capability to utilise data to teach to a student’s point of learning need.</w:t>
            </w:r>
          </w:p>
        </w:tc>
      </w:tr>
      <w:tr w:rsidTr="005D3D69">
        <w:tblPrEx>
          <w:tblW w:w="1511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96" w:type="dxa"/>
            <w:gridSpan w:val="5"/>
            <w:noWrap w:val="0"/>
          </w:tcPr>
          <w:p w:rsidR="003E1FC6" w:rsidRPr="002F40EA" w:rsidP="00AF3BC2">
            <w:pPr>
              <w:pStyle w:val="ESBodyText"/>
              <w:spacing w:after="0"/>
              <w:rPr>
                <w:sz w:val="20"/>
                <w:szCs w:val="24"/>
                <w:lang w:val="en-AU"/>
              </w:rPr>
            </w:pPr>
            <w:r>
              <w:rPr>
                <w:rFonts w:ascii="Arial" w:eastAsia="Arial" w:hAnsi="Arial" w:cs="Arial"/>
                <w:sz w:val="22"/>
              </w:rPr>
              <w:t xml:space="preserve">Reading  </w:t>
              <w:br/>
              <w:t>•</w:t>
              <w:tab/>
              <w:t xml:space="preserve">Strengthen teacher knowledge and skills in triangulating reading data, such as Running Records, Probe, PAT, and anecdotal notes, to ensure consistent and accurate assessments.  </w:t>
              <w:br/>
              <w:t>•</w:t>
              <w:tab/>
              <w:t xml:space="preserve">Enhance teacher proficiency in administering Probe and Running Records effectively.  </w:t>
              <w:br/>
              <w:t>•</w:t>
              <w:tab/>
              <w:t xml:space="preserve">Develop teachers’ ability to interpret reading data and apply it meaningfully to guide future student learning.  </w:t>
              <w:br/>
              <w:t>•</w:t>
              <w:tab/>
              <w:t xml:space="preserve">Provide opportunities for staff to build expertise using the High Impact Teaching Strategies (e.g., Goal Setting, Questioning, Feedback, and Metacognitive Strategies).  </w:t>
              <w:br/>
              <w:t>•</w:t>
              <w:tab/>
              <w:t xml:space="preserve">Implement the school’s action plan for deploying internal expertise to monitor, model, coach, and support teachers in using the instructional model.  </w:t>
              <w:br/>
              <w:t>•</w:t>
              <w:tab/>
              <w:t xml:space="preserve">Create an action plan for integrating the new English 2.0 Curriculum.  </w:t>
              <w:br/>
              <w:t>•</w:t>
              <w:tab/>
              <w:t xml:space="preserve">Track progress using a variety of data sources.  </w:t>
              <w:br/>
              <w:br/>
              <w:t>Maths</w:t>
              <w:br/>
              <w:t>•</w:t>
              <w:tab/>
              <w:t xml:space="preserve">Deepen the use of Rich Assessment Tasks and enhance teachers' ability to utilise the data to address students’ learning needs.  </w:t>
              <w:br/>
              <w:t>•</w:t>
              <w:tab/>
              <w:t xml:space="preserve">Incorporate LFHC (low-floor-high-ceiling) tasks to foster student engagement, challenge, and autonomy.  </w:t>
              <w:br/>
              <w:t>•</w:t>
              <w:tab/>
              <w:t xml:space="preserve">Analyse school-wide data to identify trends and patterns in student performance.  </w:t>
              <w:br/>
              <w:t>•</w:t>
              <w:tab/>
              <w:t>Continue hosting school-wide Maths days to inspire a love of maths.</w:t>
              <w:br/>
              <w:t>•</w:t>
              <w:tab/>
              <w:t>Develop detailed planning documents to maintain high-quality learning, with a particular focus on the level of challenge in student tasks.</w:t>
              <w:br/>
            </w:r>
          </w:p>
        </w:tc>
      </w:tr>
      <w:tr w:rsidTr="005D3D69">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973DEE" w:rsidRPr="002F40EA" w:rsidP="00AF3BC2">
            <w:pPr>
              <w:pStyle w:val="ESBodyText"/>
              <w:spacing w:after="0"/>
              <w:rPr>
                <w:b/>
                <w:sz w:val="20"/>
                <w:szCs w:val="24"/>
                <w:lang w:val="en-AU"/>
              </w:rPr>
            </w:pPr>
            <w:r w:rsidRPr="002F40EA">
              <w:rPr>
                <w:b/>
                <w:sz w:val="20"/>
                <w:szCs w:val="24"/>
                <w:lang w:val="en-AU"/>
              </w:rPr>
              <w:t>Outcomes</w:t>
            </w:r>
          </w:p>
        </w:tc>
        <w:tc>
          <w:tcPr>
            <w:tcW w:w="11996" w:type="dxa"/>
            <w:gridSpan w:val="5"/>
            <w:noWrap w:val="0"/>
          </w:tcPr>
          <w:p w:rsidR="00973DEE" w:rsidRPr="002F40EA" w:rsidP="00AF3BC2">
            <w:pPr>
              <w:pStyle w:val="ESBodyText"/>
              <w:spacing w:after="0"/>
              <w:rPr>
                <w:sz w:val="20"/>
                <w:szCs w:val="24"/>
                <w:lang w:val="en-AU"/>
              </w:rPr>
            </w:pPr>
            <w:r>
              <w:rPr>
                <w:rFonts w:ascii="Arial" w:eastAsia="Arial" w:hAnsi="Arial" w:cs="Arial"/>
                <w:sz w:val="22"/>
              </w:rPr>
              <w:t>Students will:</w:t>
              <w:br/>
              <w:t>•</w:t>
              <w:tab/>
              <w:t>Demonstrate academic growth aligned with the goals set in the AIP.</w:t>
              <w:br/>
              <w:t>•</w:t>
              <w:tab/>
              <w:t>Clearly express their personal goals and the strategies they will use to achieve them in an age-appropriate manner.</w:t>
              <w:br/>
              <w:t>•</w:t>
              <w:tab/>
              <w:t>Report feeling challenged across all subjects during focus group discussions.</w:t>
              <w:br/>
              <w:t>Teachers will:</w:t>
              <w:br/>
              <w:t>•</w:t>
              <w:tab/>
              <w:t>Design highly effective lessons aligned with the school-wide focus on Reading, Writing, and Maths.</w:t>
              <w:br/>
              <w:t>•</w:t>
              <w:tab/>
              <w:t>Show increased confidence in providing challenging learning experiences for students.</w:t>
              <w:br/>
              <w:t>•</w:t>
              <w:tab/>
              <w:t>Consistently implement the agreed assessment schedule.</w:t>
              <w:br/>
              <w:t>•</w:t>
              <w:tab/>
              <w:t>Use data to drive point-of-need teaching.</w:t>
              <w:br/>
              <w:t>•</w:t>
              <w:tab/>
              <w:t>Foster student agency by collaborating with students on goal-setting.</w:t>
              <w:br/>
              <w:t>•</w:t>
              <w:tab/>
              <w:t>Participate regularly in informal team teaching.</w:t>
              <w:br/>
              <w:t>Leaders will:</w:t>
              <w:br/>
              <w:t>•</w:t>
              <w:tab/>
              <w:t>Develop high-quality professional development based on staff needs.</w:t>
              <w:br/>
              <w:t>•</w:t>
              <w:tab/>
              <w:t>Provide targeted support by assigning mentors or coaches as required.</w:t>
              <w:br/>
              <w:t>•</w:t>
              <w:tab/>
              <w:t>Review planning documents and conduct regular walkthroughs.</w:t>
              <w:br/>
              <w:t>Parents will:</w:t>
              <w:br/>
              <w:t>•</w:t>
              <w:tab/>
              <w:t>Receive accurate updates on their child's academic progress.</w:t>
              <w:br/>
              <w:t>•</w:t>
              <w:tab/>
              <w:t>Support teachers by encouraging positive homework routines.</w:t>
              <w:br/>
              <w:t>•</w:t>
              <w:tab/>
              <w:t>Report high levels of satisfaction with the curriculum’s depth and their child’s engagement.</w:t>
              <w:br/>
            </w:r>
          </w:p>
        </w:tc>
      </w:tr>
      <w:tr w:rsidTr="005D3D69">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71379" w:rsidRPr="002F40EA" w:rsidP="00AF3BC2">
            <w:pPr>
              <w:pStyle w:val="ESBodyText"/>
              <w:spacing w:after="0"/>
              <w:rPr>
                <w:b/>
                <w:sz w:val="20"/>
                <w:szCs w:val="24"/>
                <w:lang w:val="en-AU"/>
              </w:rPr>
            </w:pPr>
            <w:r w:rsidRPr="002F40EA">
              <w:rPr>
                <w:b/>
                <w:sz w:val="20"/>
                <w:szCs w:val="24"/>
                <w:lang w:val="en-AU"/>
              </w:rPr>
              <w:t>Success Indicators</w:t>
            </w:r>
          </w:p>
        </w:tc>
        <w:tc>
          <w:tcPr>
            <w:tcW w:w="11996" w:type="dxa"/>
            <w:gridSpan w:val="5"/>
            <w:noWrap w:val="0"/>
          </w:tcPr>
          <w:p w:rsidR="00171379" w:rsidRPr="002F40EA" w:rsidP="00AF3BC2">
            <w:pPr>
              <w:pStyle w:val="ESBodyText"/>
              <w:spacing w:after="0"/>
              <w:rPr>
                <w:sz w:val="20"/>
                <w:szCs w:val="24"/>
                <w:lang w:val="en-AU"/>
              </w:rPr>
            </w:pPr>
            <w:r>
              <w:rPr>
                <w:rFonts w:ascii="Arial" w:eastAsia="Arial" w:hAnsi="Arial" w:cs="Arial"/>
                <w:sz w:val="22"/>
              </w:rPr>
              <w:t>•</w:t>
              <w:tab/>
              <w:t>Assessment data shows significant growth.</w:t>
              <w:br/>
              <w:t>•</w:t>
              <w:tab/>
              <w:t>Planning documents align with key school priorities.</w:t>
              <w:br/>
              <w:t>•</w:t>
              <w:tab/>
              <w:t>Teachers are utilising assessment tracking documentation.</w:t>
              <w:br/>
              <w:t>•</w:t>
              <w:tab/>
              <w:t>A higher percentage of targets are achieved in the June and December reporting periods.</w:t>
              <w:br/>
              <w:t>•</w:t>
              <w:tab/>
              <w:t>Walkthroughs reveal growing evidence of student challenge and engagement.</w:t>
            </w:r>
          </w:p>
        </w:tc>
      </w:tr>
      <w:tr w:rsidTr="006C7A56">
        <w:tblPrEx>
          <w:tblW w:w="15115" w:type="dxa"/>
          <w:tblCellMar>
            <w:top w:w="115" w:type="dxa"/>
            <w:left w:w="115" w:type="dxa"/>
            <w:bottom w:w="115" w:type="dxa"/>
            <w:right w:w="115" w:type="dxa"/>
          </w:tblCellMar>
          <w:tblLook w:val="04A0"/>
        </w:tblPrEx>
        <w:trPr>
          <w:trHeight w:val="549"/>
        </w:trPr>
        <w:tc>
          <w:tcPr>
            <w:tcW w:w="6205" w:type="dxa"/>
            <w:gridSpan w:val="2"/>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Activities</w:t>
            </w:r>
          </w:p>
        </w:tc>
        <w:tc>
          <w:tcPr>
            <w:tcW w:w="315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 xml:space="preserve">People </w:t>
            </w:r>
            <w:r w:rsidRPr="002F40EA" w:rsidR="00802D4E">
              <w:rPr>
                <w:szCs w:val="24"/>
                <w:lang w:val="en-AU"/>
              </w:rPr>
              <w:t>r</w:t>
            </w:r>
            <w:r w:rsidRPr="002F40EA">
              <w:rPr>
                <w:szCs w:val="24"/>
                <w:lang w:val="en-AU"/>
              </w:rPr>
              <w:t>esponsible</w:t>
            </w:r>
          </w:p>
        </w:tc>
        <w:tc>
          <w:tcPr>
            <w:tcW w:w="1530" w:type="dxa"/>
            <w:shd w:val="clear" w:color="auto" w:fill="D9D9D9" w:themeFill="background1" w:themeFillShade="D9"/>
          </w:tcPr>
          <w:p w:rsidR="003E1FC6" w:rsidRPr="002F40EA" w:rsidP="00103446">
            <w:pPr>
              <w:pStyle w:val="Heading3"/>
              <w:spacing w:before="0" w:after="0"/>
              <w:rPr>
                <w:szCs w:val="24"/>
                <w:lang w:val="en-AU"/>
              </w:rPr>
            </w:pPr>
            <w:r w:rsidRPr="002F40EA">
              <w:rPr>
                <w:szCs w:val="24"/>
                <w:lang w:val="en-AU"/>
              </w:rPr>
              <w:t xml:space="preserve">Is this a </w:t>
            </w:r>
            <w:r w:rsidRPr="002F40EA" w:rsidR="00103446">
              <w:rPr>
                <w:szCs w:val="24"/>
                <w:lang w:val="en-AU"/>
              </w:rPr>
              <w:t>PL</w:t>
            </w:r>
            <w:r w:rsidRPr="002F40EA">
              <w:rPr>
                <w:szCs w:val="24"/>
                <w:lang w:val="en-AU"/>
              </w:rPr>
              <w:t xml:space="preserve"> </w:t>
            </w:r>
            <w:r w:rsidRPr="002F40EA" w:rsidR="00802D4E">
              <w:rPr>
                <w:szCs w:val="24"/>
                <w:lang w:val="en-AU"/>
              </w:rPr>
              <w:t>p</w:t>
            </w:r>
            <w:r w:rsidRPr="002F40EA">
              <w:rPr>
                <w:szCs w:val="24"/>
                <w:lang w:val="en-AU"/>
              </w:rPr>
              <w:t>riority</w:t>
            </w:r>
          </w:p>
        </w:tc>
        <w:tc>
          <w:tcPr>
            <w:tcW w:w="207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When</w:t>
            </w:r>
          </w:p>
        </w:tc>
        <w:tc>
          <w:tcPr>
            <w:tcW w:w="216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Activity cost and funding streams</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Provide staffing and opportunities for professional learning focused on key concepts such as High Impact Teaching Strategies, the four proficiencies, data analysis, and LFHC (Low Floor High Ceiling) rich tasks.</w:t>
              <w:br/>
              <w:br/>
              <w:t>Allocate equity funding based on needs to support students with additional literacy requirements, including those from Koorie backgrounds.</w:t>
              <w:br/>
              <w:br/>
              <w:t>Assign Learning Specialists and Key Learning Areas (KLAs) as coaches/support to address targeted points of need, enhancing instructional consistency and pedagogical approaches across the school. This will involve regular student shadowing in classrooms to assess student growth.</w:t>
              <w:br/>
              <w:br/>
              <w:t>Monitor planning documentation to ensure consistency and differentiation in meeting student needs.</w:t>
              <w:br/>
              <w:br/>
              <w:t>Lead the development of the action plan outlining how staff will be deployed.</w:t>
              <w:br/>
              <w:br/>
              <w:t>Provide funding for external presenters to conduct professional development sessions for staff.</w:t>
              <w:br/>
              <w:br/>
              <w:t>Facilitate a leadership skills analysis for leaders each term.</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$110,000.00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Equity funding will be used</w:t>
            </w:r>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Deliver professional development in line with an established PD plan, showcasing best practices on topics such as High Impact Teaching Strategies, the four proficiencies, data analysis, and LFHC (Low Floor High Ceiling) tasks.</w:t>
              <w:br/>
              <w:br/>
              <w:t>Create an action plan outlining how the school’s expertise will be utilised to monitor, model, coach, and support teachers in implementing these strategies.</w:t>
              <w:br/>
              <w:br/>
              <w:t>Review student outcome data concerning specific targets and examine annual survey data points, including AtoSS and Parent Opinion surveys.</w:t>
              <w:br/>
              <w:br/>
              <w:t>Provide regular feedback to teachers regarding data, coaching, and planning efforts.</w:t>
              <w:br/>
              <w:br/>
              <w:t>Analyse planning documents to ensure that the challenge level is appropriately high for all students.</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$34,703.94</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Offer feedback on planning documentation to enhance quality.</w:t>
              <w:br/>
              <w:br/>
              <w:t>Conduct periodic audits of weekly programs to ensure they meet high-quality standards.</w:t>
              <w:br/>
              <w:br/>
              <w:t>Track the progress of Professional Learning Community (PLC) teams throughout the improvement cycle.</w:t>
              <w:br/>
              <w:br/>
              <w:t>Monitor progress by utilising key data sources.</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KLA leader</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$15,000.00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Participate in Professional Practice days to foster collaboration and growth.</w:t>
              <w:br/>
              <w:br/>
              <w:t>Build capacity in high-quality teaching practices.</w:t>
              <w:br/>
              <w:br/>
              <w:t>Monitor student progress through our assessment schedule and classroom learning tasks.</w:t>
              <w:br/>
              <w:br/>
              <w:t>Cultivate a culture where all students are enthusiastic about learning and actively engage in the learning process.</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$15,000.00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FA4D4A">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b/>
                <w:sz w:val="24"/>
                <w:szCs w:val="24"/>
                <w:lang w:val="en-AU"/>
              </w:rPr>
              <w:t>Goal 2</w:t>
            </w:r>
          </w:p>
        </w:tc>
        <w:tc>
          <w:tcPr>
            <w:tcW w:w="11996" w:type="dxa"/>
            <w:gridSpan w:val="5"/>
            <w:shd w:val="clear" w:color="auto" w:fill="D9D9D9" w:themeFill="background1" w:themeFillShade="D9"/>
          </w:tcPr>
          <w:p w:rsidR="00973DEE" w:rsidRPr="002F40EA" w:rsidP="00FE3D5C">
            <w:pPr>
              <w:pStyle w:val="ESBodyText"/>
              <w:spacing w:after="0"/>
              <w:rPr>
                <w:rFonts w:ascii="Arial" w:eastAsia="Arial" w:hAnsi="Arial" w:cs="Arial"/>
                <w:b w:val="0"/>
                <w:color w:val="auto"/>
                <w:sz w:val="22"/>
                <w:szCs w:val="24"/>
                <w:lang w:val="en-AU"/>
              </w:rPr>
            </w:pPr>
            <w:r w:rsidRPr="002F40EA">
              <w:rPr>
                <w:rStyle w:val="DefaultParagraphFont"/>
                <w:rFonts w:ascii="Arial" w:eastAsia="Arial" w:hAnsi="Arial" w:cs="Arial"/>
                <w:b w:val="0"/>
                <w:color w:val="auto"/>
                <w:sz w:val="22"/>
                <w:szCs w:val="24"/>
              </w:rPr>
              <w:t>Empower students in their learning and wellbeing.</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sz w:val="22"/>
                <w:szCs w:val="24"/>
                <w:lang w:val="en-AU"/>
              </w:rPr>
              <w:t>12-month target 2.1</w:t>
            </w:r>
            <w:r w:rsidRPr="002F40EA" w:rsidR="008415C6">
              <w:rPr>
                <w:szCs w:val="24"/>
                <w:lang w:val="en-AU"/>
              </w:rPr>
              <w:t xml:space="preserve"> </w:t>
            </w:r>
          </w:p>
        </w:tc>
        <w:tc>
          <w:tcPr>
            <w:tcW w:w="11996" w:type="dxa"/>
            <w:gridSpan w:val="5"/>
            <w:shd w:val="clear" w:color="auto" w:fill="D9D9D9" w:themeFill="background1" w:themeFillShade="D9"/>
            <w:noWrap w:val="0"/>
          </w:tcPr>
          <w:p w:rsidR="00973DEE" w:rsidRPr="002F40EA" w:rsidP="00FE3D5C">
            <w:pPr>
              <w:pStyle w:val="ESBodyText"/>
              <w:spacing w:after="0"/>
              <w:rPr>
                <w:sz w:val="20"/>
                <w:szCs w:val="24"/>
                <w:lang w:val="en-AU"/>
              </w:rPr>
            </w:pPr>
            <w:r>
              <w:rPr>
                <w:rFonts w:ascii="Arial" w:eastAsia="Arial" w:hAnsi="Arial" w:cs="Arial"/>
                <w:sz w:val="22"/>
              </w:rPr>
              <w:t>Student voice and agency to increase from 82% to 84%</w:t>
              <w:br/>
              <w:t>Motivation and interest to increase from 85% to 87%</w:t>
              <w:br/>
              <w:t>Teacher concern to increase from 76% to 78%.</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sz w:val="22"/>
                <w:szCs w:val="24"/>
                <w:lang w:val="en-AU"/>
              </w:rPr>
              <w:t>12-month target 2.2</w:t>
            </w:r>
            <w:r w:rsidRPr="002F40EA" w:rsidR="008415C6">
              <w:rPr>
                <w:szCs w:val="24"/>
                <w:lang w:val="en-AU"/>
              </w:rPr>
              <w:t xml:space="preserve"> </w:t>
            </w:r>
          </w:p>
        </w:tc>
        <w:tc>
          <w:tcPr>
            <w:tcW w:w="11996" w:type="dxa"/>
            <w:gridSpan w:val="5"/>
            <w:shd w:val="clear" w:color="auto" w:fill="D9D9D9" w:themeFill="background1" w:themeFillShade="D9"/>
            <w:noWrap w:val="0"/>
          </w:tcPr>
          <w:p w:rsidR="00973DEE" w:rsidRPr="002F40EA" w:rsidP="00FE3D5C">
            <w:pPr>
              <w:pStyle w:val="ESBodyText"/>
              <w:spacing w:after="0"/>
              <w:rPr>
                <w:sz w:val="20"/>
                <w:szCs w:val="24"/>
                <w:lang w:val="en-AU"/>
              </w:rPr>
            </w:pPr>
            <w:r>
              <w:rPr>
                <w:rFonts w:ascii="Arial" w:eastAsia="Arial" w:hAnsi="Arial" w:cs="Arial"/>
                <w:sz w:val="22"/>
              </w:rPr>
              <w:t>Use student feedback to improve practice to increase from 86% to 88%.</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sz w:val="22"/>
                <w:szCs w:val="24"/>
                <w:lang w:val="en-AU"/>
              </w:rPr>
              <w:t>12-month target 2.3</w:t>
            </w:r>
            <w:r w:rsidRPr="002F40EA" w:rsidR="008415C6">
              <w:rPr>
                <w:szCs w:val="24"/>
                <w:lang w:val="en-AU"/>
              </w:rPr>
              <w:t xml:space="preserve"> </w:t>
            </w:r>
          </w:p>
        </w:tc>
        <w:tc>
          <w:tcPr>
            <w:tcW w:w="11996" w:type="dxa"/>
            <w:gridSpan w:val="5"/>
            <w:shd w:val="clear" w:color="auto" w:fill="D9D9D9" w:themeFill="background1" w:themeFillShade="D9"/>
            <w:noWrap w:val="0"/>
          </w:tcPr>
          <w:p w:rsidR="00973DEE" w:rsidRPr="002F40EA" w:rsidP="00FE3D5C">
            <w:pPr>
              <w:pStyle w:val="ESBodyText"/>
              <w:spacing w:after="0"/>
              <w:rPr>
                <w:sz w:val="20"/>
                <w:szCs w:val="24"/>
                <w:lang w:val="en-AU"/>
              </w:rPr>
            </w:pPr>
            <w:r>
              <w:rPr>
                <w:rFonts w:ascii="Arial" w:eastAsia="Arial" w:hAnsi="Arial" w:cs="Arial"/>
                <w:sz w:val="22"/>
              </w:rPr>
              <w:t>School improvement to be maintained at 89%</w:t>
              <w:br/>
              <w:t>Teacher communication 86% in 2023 to 88% in 2025. Only 2.9% of families responded to the P.O.S in 2024.</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58BFBD"/>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2.a</w:t>
            </w:r>
          </w:p>
          <w:p>
            <w:r>
              <w:rPr>
                <w:rFonts w:ascii="Arial" w:eastAsia="Arial" w:hAnsi="Arial" w:cs="Arial"/>
                <w:sz w:val="22"/>
              </w:rPr>
              <w:t>Documented teaching and learning program based on the Victorian Curriculum and senior secondary pathways, incorporating extra-curricula programs</w:t>
            </w:r>
          </w:p>
        </w:tc>
        <w:tc>
          <w:tcPr>
            <w:tcW w:w="11996" w:type="dxa"/>
            <w:gridSpan w:val="5"/>
            <w:shd w:val="clear" w:color="auto" w:fill="58BFBD"/>
            <w:noWrap w:val="0"/>
          </w:tcPr>
          <w:p w:rsidR="00973DEE" w:rsidRPr="002F40EA" w:rsidP="00FE3D5C">
            <w:pPr>
              <w:pStyle w:val="ESBodyText"/>
              <w:spacing w:after="0"/>
              <w:rPr>
                <w:sz w:val="20"/>
                <w:szCs w:val="24"/>
                <w:lang w:val="en-AU"/>
              </w:rPr>
            </w:pPr>
            <w:r>
              <w:rPr>
                <w:rFonts w:ascii="Arial" w:eastAsia="Arial" w:hAnsi="Arial" w:cs="Arial"/>
                <w:sz w:val="22"/>
              </w:rPr>
              <w:t>Develop staff capabilities to activate agency in learning and wellbeing.</w:t>
            </w:r>
          </w:p>
        </w:tc>
      </w:tr>
      <w:tr w:rsidTr="005D3D69">
        <w:tblPrEx>
          <w:tblW w:w="1511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96" w:type="dxa"/>
            <w:gridSpan w:val="5"/>
            <w:noWrap w:val="0"/>
          </w:tcPr>
          <w:p w:rsidR="003E1FC6" w:rsidRPr="002F40EA" w:rsidP="00AF3BC2">
            <w:pPr>
              <w:pStyle w:val="ESBodyText"/>
              <w:spacing w:after="0"/>
              <w:rPr>
                <w:sz w:val="20"/>
                <w:szCs w:val="24"/>
                <w:lang w:val="en-AU"/>
              </w:rPr>
            </w:pPr>
            <w:r>
              <w:rPr>
                <w:rFonts w:ascii="Arial" w:eastAsia="Arial" w:hAnsi="Arial" w:cs="Arial"/>
                <w:sz w:val="22"/>
              </w:rPr>
              <w:t>•</w:t>
              <w:tab/>
              <w:t>Adhere to the school's comprehensive wellbeing plan.</w:t>
              <w:br/>
              <w:t>•</w:t>
              <w:tab/>
              <w:t>Participate in professional development focused on enhancing staff skills in promoting student agency in learning and wellbeing.</w:t>
              <w:br/>
              <w:t>•</w:t>
              <w:tab/>
              <w:t>Conduct and analyse regular surveys to track student and staff progress in these areas.</w:t>
            </w:r>
          </w:p>
        </w:tc>
      </w:tr>
      <w:tr w:rsidTr="005D3D69">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973DEE" w:rsidRPr="002F40EA" w:rsidP="00AF3BC2">
            <w:pPr>
              <w:pStyle w:val="ESBodyText"/>
              <w:spacing w:after="0"/>
              <w:rPr>
                <w:b/>
                <w:sz w:val="20"/>
                <w:szCs w:val="24"/>
                <w:lang w:val="en-AU"/>
              </w:rPr>
            </w:pPr>
            <w:r w:rsidRPr="002F40EA">
              <w:rPr>
                <w:b/>
                <w:sz w:val="20"/>
                <w:szCs w:val="24"/>
                <w:lang w:val="en-AU"/>
              </w:rPr>
              <w:t>Outcomes</w:t>
            </w:r>
          </w:p>
        </w:tc>
        <w:tc>
          <w:tcPr>
            <w:tcW w:w="11996" w:type="dxa"/>
            <w:gridSpan w:val="5"/>
            <w:noWrap w:val="0"/>
          </w:tcPr>
          <w:p w:rsidR="00973DEE" w:rsidRPr="002F40EA" w:rsidP="00AF3BC2">
            <w:pPr>
              <w:pStyle w:val="ESBodyText"/>
              <w:spacing w:after="0"/>
              <w:rPr>
                <w:sz w:val="20"/>
                <w:szCs w:val="24"/>
                <w:lang w:val="en-AU"/>
              </w:rPr>
            </w:pPr>
            <w:r>
              <w:rPr>
                <w:rFonts w:ascii="Arial" w:eastAsia="Arial" w:hAnsi="Arial" w:cs="Arial"/>
                <w:sz w:val="22"/>
              </w:rPr>
              <w:t>Students will:</w:t>
              <w:br/>
              <w:t>•</w:t>
              <w:tab/>
              <w:t>Demonstrate increased engagement in their learning.</w:t>
              <w:br/>
              <w:t>•</w:t>
              <w:tab/>
              <w:t>Exhibit higher levels of motivation, voice, and agency.</w:t>
              <w:br/>
              <w:t>Teachers will:</w:t>
              <w:br/>
              <w:t>•</w:t>
              <w:tab/>
              <w:t>Deepen their understanding of voice and agency and how to foster its development in students.</w:t>
              <w:br/>
              <w:t>•</w:t>
              <w:tab/>
              <w:t>Embed opportunities for student voice and agency in their lesson plans.</w:t>
              <w:br/>
              <w:t>•</w:t>
              <w:tab/>
              <w:t>Enhance their ability to teach personal and social capabilities, as well as critical and creative thinking skills, to promote strong student voice and agency.</w:t>
              <w:br/>
              <w:t>Leaders will:</w:t>
              <w:br/>
              <w:t>•</w:t>
              <w:tab/>
              <w:t>Provide targeted coaching to support the initiative.</w:t>
              <w:br/>
              <w:t>•</w:t>
              <w:tab/>
              <w:t>Deliver evidence-based professional development.</w:t>
              <w:br/>
              <w:t>•</w:t>
              <w:tab/>
              <w:t>Improve staff understanding of wellbeing data.</w:t>
              <w:br/>
              <w:t>Parents/Carers will:</w:t>
              <w:br/>
              <w:t>•</w:t>
              <w:tab/>
              <w:t>Report increased student learning and engagement in the 2025 school parent feedback survey.</w:t>
            </w:r>
          </w:p>
        </w:tc>
      </w:tr>
      <w:tr w:rsidTr="005D3D69">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71379" w:rsidRPr="002F40EA" w:rsidP="00AF3BC2">
            <w:pPr>
              <w:pStyle w:val="ESBodyText"/>
              <w:spacing w:after="0"/>
              <w:rPr>
                <w:b/>
                <w:sz w:val="20"/>
                <w:szCs w:val="24"/>
                <w:lang w:val="en-AU"/>
              </w:rPr>
            </w:pPr>
            <w:r w:rsidRPr="002F40EA">
              <w:rPr>
                <w:b/>
                <w:sz w:val="20"/>
                <w:szCs w:val="24"/>
                <w:lang w:val="en-AU"/>
              </w:rPr>
              <w:t>Success Indicators</w:t>
            </w:r>
          </w:p>
        </w:tc>
        <w:tc>
          <w:tcPr>
            <w:tcW w:w="11996" w:type="dxa"/>
            <w:gridSpan w:val="5"/>
            <w:noWrap w:val="0"/>
          </w:tcPr>
          <w:p w:rsidR="00171379" w:rsidRPr="002F40EA" w:rsidP="00AF3BC2">
            <w:pPr>
              <w:pStyle w:val="ESBodyText"/>
              <w:spacing w:after="0"/>
              <w:rPr>
                <w:sz w:val="20"/>
                <w:szCs w:val="24"/>
                <w:lang w:val="en-AU"/>
              </w:rPr>
            </w:pPr>
            <w:r>
              <w:rPr>
                <w:rFonts w:ascii="Arial" w:eastAsia="Arial" w:hAnsi="Arial" w:cs="Arial"/>
                <w:sz w:val="22"/>
              </w:rPr>
              <w:t>•</w:t>
              <w:tab/>
              <w:t>Assessment data shows significant improvement in academic growth.</w:t>
              <w:br/>
              <w:t>•</w:t>
              <w:tab/>
              <w:t>Teacher planning documentation incorporates tasks designed to promote voice and agency.</w:t>
              <w:br/>
              <w:t>•</w:t>
              <w:tab/>
              <w:t>Staff surveys indicate increased knowledge and understanding of voice and agency.</w:t>
              <w:br/>
              <w:t>•</w:t>
              <w:tab/>
              <w:t>Student feedback reflects positive perceptions of voice and agency in the classroom.</w:t>
              <w:br/>
              <w:t>•</w:t>
              <w:tab/>
              <w:t>Student surveys demonstrate a clear understanding of voice and agency.</w:t>
            </w:r>
          </w:p>
        </w:tc>
      </w:tr>
      <w:tr w:rsidTr="006C7A56">
        <w:tblPrEx>
          <w:tblW w:w="15115" w:type="dxa"/>
          <w:tblCellMar>
            <w:top w:w="115" w:type="dxa"/>
            <w:left w:w="115" w:type="dxa"/>
            <w:bottom w:w="115" w:type="dxa"/>
            <w:right w:w="115" w:type="dxa"/>
          </w:tblCellMar>
          <w:tblLook w:val="04A0"/>
        </w:tblPrEx>
        <w:trPr>
          <w:trHeight w:val="549"/>
        </w:trPr>
        <w:tc>
          <w:tcPr>
            <w:tcW w:w="6205" w:type="dxa"/>
            <w:gridSpan w:val="2"/>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Activities</w:t>
            </w:r>
          </w:p>
        </w:tc>
        <w:tc>
          <w:tcPr>
            <w:tcW w:w="315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 xml:space="preserve">People </w:t>
            </w:r>
            <w:r w:rsidRPr="002F40EA" w:rsidR="00802D4E">
              <w:rPr>
                <w:szCs w:val="24"/>
                <w:lang w:val="en-AU"/>
              </w:rPr>
              <w:t>r</w:t>
            </w:r>
            <w:r w:rsidRPr="002F40EA">
              <w:rPr>
                <w:szCs w:val="24"/>
                <w:lang w:val="en-AU"/>
              </w:rPr>
              <w:t>esponsible</w:t>
            </w:r>
          </w:p>
        </w:tc>
        <w:tc>
          <w:tcPr>
            <w:tcW w:w="1530" w:type="dxa"/>
            <w:shd w:val="clear" w:color="auto" w:fill="D9D9D9" w:themeFill="background1" w:themeFillShade="D9"/>
          </w:tcPr>
          <w:p w:rsidR="003E1FC6" w:rsidRPr="002F40EA" w:rsidP="00103446">
            <w:pPr>
              <w:pStyle w:val="Heading3"/>
              <w:spacing w:before="0" w:after="0"/>
              <w:rPr>
                <w:szCs w:val="24"/>
                <w:lang w:val="en-AU"/>
              </w:rPr>
            </w:pPr>
            <w:r w:rsidRPr="002F40EA">
              <w:rPr>
                <w:szCs w:val="24"/>
                <w:lang w:val="en-AU"/>
              </w:rPr>
              <w:t xml:space="preserve">Is this a </w:t>
            </w:r>
            <w:r w:rsidRPr="002F40EA" w:rsidR="00103446">
              <w:rPr>
                <w:szCs w:val="24"/>
                <w:lang w:val="en-AU"/>
              </w:rPr>
              <w:t>PL</w:t>
            </w:r>
            <w:r w:rsidRPr="002F40EA">
              <w:rPr>
                <w:szCs w:val="24"/>
                <w:lang w:val="en-AU"/>
              </w:rPr>
              <w:t xml:space="preserve"> </w:t>
            </w:r>
            <w:r w:rsidRPr="002F40EA" w:rsidR="00802D4E">
              <w:rPr>
                <w:szCs w:val="24"/>
                <w:lang w:val="en-AU"/>
              </w:rPr>
              <w:t>p</w:t>
            </w:r>
            <w:r w:rsidRPr="002F40EA">
              <w:rPr>
                <w:szCs w:val="24"/>
                <w:lang w:val="en-AU"/>
              </w:rPr>
              <w:t>riority</w:t>
            </w:r>
          </w:p>
        </w:tc>
        <w:tc>
          <w:tcPr>
            <w:tcW w:w="207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When</w:t>
            </w:r>
          </w:p>
        </w:tc>
        <w:tc>
          <w:tcPr>
            <w:tcW w:w="216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Activity cost and funding streams</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Ensure adequate staffing and professional learning opportunities are available to support the implementation of High Impact Teaching Strategies and the integration of student voice and agency.</w:t>
              <w:br/>
              <w:t>Distribute equity funding based on need to provide support for students requiring additional wellbeing assistance, including those from Koorie backgrounds.</w:t>
              <w:br/>
              <w:t>Utilise Learning Specialists and KLA leaders to provide targeted coaching and support to teachers, promoting instructional consistency and a cohesive pedagogical approach across the school. This will involve regular classroom observations and student shadowing to track student progress.</w:t>
              <w:br/>
              <w:t>Regularly review planning documentation to ensure that learning activities incorporate opportunities for student voice and agency.</w:t>
              <w:br/>
              <w:t>Oversee the creation and implementation of the action plan, including decisions regarding staff roles and responsibilities.</w:t>
              <w:br/>
              <w:t>Allocate funding to engage external experts to deliver professional development to staff.</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$50,000.00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Schools Mental Health Menu items will be used which may include DET funded or free items</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Deliver professional development aligned with an established plan, showcasing exemplary practices that promote student voice and agency.</w:t>
              <w:br/>
              <w:t>Create a strategic plan outlining how the school's internal expertise will be utilised to observe, model, coach, and support teachers in effectively implementing strategies that empower student voice and agency.</w:t>
              <w:br/>
              <w:t>Provide teachers with consistent and constructive feedback regarding their use of data, coaching strategies, and lesson planning to foster student voice and agency.</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$4,500.00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Provide targeted feedback on lesson plans, emphasising the effective integration of student voice and agency.</w:t>
              <w:br/>
              <w:t>Deliver professional development aligned with an established plan, showcasing exemplary practices in areas such as High Impact Wellbeing Strategies, promoting student voice and agency, and effective data analysis.</w:t>
              <w:br/>
              <w:t>Conduct regular audits of fortnightly programs to ensure the quality and effectiveness of lesson planning.</w:t>
              <w:br/>
              <w:t>Develop a plan to leverage internal expertise for mentoring, coaching, and supporting teachers in implementing strategies that promote student voice and agency.</w:t>
              <w:br/>
              <w:t>Lead professional discussions focused on age-appropriate teaching strategies that enhance student voice and agency.</w:t>
              <w:br/>
              <w:t>Regularly review student wellbeing data to monitor progress, evaluate program impact, and make any necessary adjustments to strategies.</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KLA leader</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A9A9A9"/>
                <w:sz w:val="24"/>
              </w:rPr>
              <w:sym w:font="Wingdings" w:char="F0A8"/>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$4,000.00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Actively participate in professional learning to further develop teaching practices.</w:t>
              <w:br/>
              <w:t>Investigate and implement innovative teaching approaches and philosophies discovered through professional development.</w:t>
              <w:br/>
              <w:t>Utilise assessment data and student surveys to track student progress and inform instruction.</w:t>
              <w:br/>
              <w:t>Monitor the effectiveness of Professional Learning Communities (PLCs) as they progress through the improvement cycle.</w:t>
              <w:br/>
              <w:t>Explicitly teach essential interpersonal skills that empower students to develop their voice and agency.</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A9A9A9"/>
                <w:sz w:val="24"/>
              </w:rPr>
              <w:sym w:font="Wingdings" w:char="F0A8"/>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$2,500.00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FA4D4A">
        <w:tblPrEx>
          <w:tblW w:w="15115" w:type="dxa"/>
          <w:tblCellMar>
            <w:top w:w="115" w:type="dxa"/>
            <w:left w:w="115" w:type="dxa"/>
            <w:bottom w:w="115" w:type="dxa"/>
            <w:right w:w="115" w:type="dxa"/>
          </w:tblCellMar>
          <w:tblLook w:val="04A0"/>
        </w:tblPrEx>
        <w:trPr>
          <w:trHeight w:val="15"/>
        </w:trPr>
        <w:tc>
          <w:tcPr>
            <w:tcW w:w="3119" w:type="dxa"/>
            <w:shd w:val="clear" w:color="auto" w:fill="FFD062"/>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2.b</w:t>
            </w:r>
          </w:p>
          <w:p>
            <w:r>
              <w:rPr>
                <w:rFonts w:ascii="Arial" w:eastAsia="Arial" w:hAnsi="Arial" w:cs="Arial"/>
                <w:sz w:val="22"/>
              </w:rPr>
              <w:t>The strategic direction and deployment of resources to create and reflect shared goals and values; high expectations; and a positive, safe and orderly learning environment</w:t>
            </w:r>
          </w:p>
        </w:tc>
        <w:tc>
          <w:tcPr>
            <w:tcW w:w="11996" w:type="dxa"/>
            <w:gridSpan w:val="5"/>
            <w:shd w:val="clear" w:color="auto" w:fill="FFD062"/>
            <w:noWrap w:val="0"/>
          </w:tcPr>
          <w:p w:rsidR="00973DEE" w:rsidRPr="002F40EA" w:rsidP="00FE3D5C">
            <w:pPr>
              <w:pStyle w:val="ESBodyText"/>
              <w:spacing w:after="0"/>
              <w:rPr>
                <w:sz w:val="20"/>
                <w:szCs w:val="24"/>
                <w:lang w:val="en-AU"/>
              </w:rPr>
            </w:pPr>
            <w:r>
              <w:rPr>
                <w:rFonts w:ascii="Arial" w:eastAsia="Arial" w:hAnsi="Arial" w:cs="Arial"/>
                <w:sz w:val="22"/>
              </w:rPr>
              <w:t>Develop and facilitate opportunities for students to influence and co-design their learning.</w:t>
            </w:r>
          </w:p>
        </w:tc>
      </w:tr>
      <w:tr w:rsidTr="005D3D69">
        <w:tblPrEx>
          <w:tblW w:w="15115"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96" w:type="dxa"/>
            <w:gridSpan w:val="5"/>
            <w:noWrap w:val="0"/>
          </w:tcPr>
          <w:p w:rsidR="003E1FC6" w:rsidRPr="002F40EA" w:rsidP="00AF3BC2">
            <w:pPr>
              <w:pStyle w:val="ESBodyText"/>
              <w:spacing w:after="0"/>
              <w:rPr>
                <w:sz w:val="20"/>
                <w:szCs w:val="24"/>
                <w:lang w:val="en-AU"/>
              </w:rPr>
            </w:pPr>
            <w:r>
              <w:rPr>
                <w:rFonts w:ascii="Arial" w:eastAsia="Arial" w:hAnsi="Arial" w:cs="Arial"/>
                <w:sz w:val="22"/>
              </w:rPr>
              <w:t>•</w:t>
              <w:tab/>
              <w:t>Implement a comprehensive wellbeing framework across the school.</w:t>
              <w:br/>
              <w:t>•</w:t>
              <w:tab/>
              <w:t>Deliver a continuous professional development program designed to enhance staff skills in fostering student agency in learning and wellbeing.</w:t>
              <w:br/>
              <w:t>•</w:t>
              <w:tab/>
              <w:t>Regularly administer and analyse surveys to track the progress of both students and staff in relation to agency in learning and wellbeing.</w:t>
            </w:r>
          </w:p>
        </w:tc>
      </w:tr>
      <w:tr w:rsidTr="005D3D69">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973DEE" w:rsidRPr="002F40EA" w:rsidP="00AF3BC2">
            <w:pPr>
              <w:pStyle w:val="ESBodyText"/>
              <w:spacing w:after="0"/>
              <w:rPr>
                <w:b/>
                <w:sz w:val="20"/>
                <w:szCs w:val="24"/>
                <w:lang w:val="en-AU"/>
              </w:rPr>
            </w:pPr>
            <w:r w:rsidRPr="002F40EA">
              <w:rPr>
                <w:b/>
                <w:sz w:val="20"/>
                <w:szCs w:val="24"/>
                <w:lang w:val="en-AU"/>
              </w:rPr>
              <w:t>Outcomes</w:t>
            </w:r>
          </w:p>
        </w:tc>
        <w:tc>
          <w:tcPr>
            <w:tcW w:w="11996" w:type="dxa"/>
            <w:gridSpan w:val="5"/>
            <w:noWrap w:val="0"/>
          </w:tcPr>
          <w:p w:rsidR="00973DEE" w:rsidRPr="002F40EA" w:rsidP="00AF3BC2">
            <w:pPr>
              <w:pStyle w:val="ESBodyText"/>
              <w:spacing w:after="0"/>
              <w:rPr>
                <w:sz w:val="20"/>
                <w:szCs w:val="24"/>
                <w:lang w:val="en-AU"/>
              </w:rPr>
            </w:pPr>
            <w:r>
              <w:rPr>
                <w:rFonts w:ascii="Arial" w:eastAsia="Arial" w:hAnsi="Arial" w:cs="Arial"/>
                <w:sz w:val="22"/>
              </w:rPr>
              <w:t>Students will:</w:t>
              <w:br/>
              <w:t>•</w:t>
              <w:tab/>
              <w:t>Demonstrate increased engagement and active participation in their learning.</w:t>
              <w:br/>
              <w:t>•</w:t>
              <w:tab/>
              <w:t>Exhibit higher levels of motivation, confidently express their ideas and opinions, and take ownership of their learning journey.</w:t>
              <w:br/>
              <w:t>Teachers will:</w:t>
              <w:br/>
              <w:t>•</w:t>
              <w:tab/>
              <w:t>Develop and apply effective strategies to promote student voice and agency in the classroom.</w:t>
              <w:br/>
              <w:t>•</w:t>
              <w:tab/>
              <w:t>Document clear opportunities for student voice and agency within their lesson plans.</w:t>
              <w:br/>
              <w:t>•</w:t>
              <w:tab/>
              <w:t>Strengthen their skills in teaching personal and social capabilities, as well as critical and creative thinking, to foster student voice and agency.</w:t>
              <w:br/>
              <w:t>Leaders will:</w:t>
              <w:br/>
              <w:t>•</w:t>
              <w:tab/>
              <w:t>Offer coaching and mentoring to support staff in implementing initiatives related to student voice and agency.</w:t>
              <w:br/>
              <w:t>•</w:t>
              <w:tab/>
              <w:t>Facilitate high-quality, research-based professional development on relevant topics.</w:t>
              <w:br/>
              <w:t>•</w:t>
              <w:tab/>
              <w:t>Develop staff capacity to analyse and utilise wellbeing data to inform practice.</w:t>
              <w:br/>
              <w:t>Parents/carers will:</w:t>
              <w:br/>
              <w:t>•</w:t>
              <w:tab/>
              <w:t>Observe and report improvements in their child's learning and engagement in the 2025 school parent feedback survey.</w:t>
            </w:r>
          </w:p>
        </w:tc>
      </w:tr>
      <w:tr w:rsidTr="005D3D69">
        <w:tblPrEx>
          <w:tblW w:w="15115"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171379" w:rsidRPr="002F40EA" w:rsidP="00AF3BC2">
            <w:pPr>
              <w:pStyle w:val="ESBodyText"/>
              <w:spacing w:after="0"/>
              <w:rPr>
                <w:b/>
                <w:sz w:val="20"/>
                <w:szCs w:val="24"/>
                <w:lang w:val="en-AU"/>
              </w:rPr>
            </w:pPr>
            <w:r w:rsidRPr="002F40EA">
              <w:rPr>
                <w:b/>
                <w:sz w:val="20"/>
                <w:szCs w:val="24"/>
                <w:lang w:val="en-AU"/>
              </w:rPr>
              <w:t>Success Indicators</w:t>
            </w:r>
          </w:p>
        </w:tc>
        <w:tc>
          <w:tcPr>
            <w:tcW w:w="11996" w:type="dxa"/>
            <w:gridSpan w:val="5"/>
            <w:noWrap w:val="0"/>
          </w:tcPr>
          <w:p w:rsidR="00171379" w:rsidRPr="002F40EA" w:rsidP="00AF3BC2">
            <w:pPr>
              <w:pStyle w:val="ESBodyText"/>
              <w:spacing w:after="0"/>
              <w:rPr>
                <w:sz w:val="20"/>
                <w:szCs w:val="24"/>
                <w:lang w:val="en-AU"/>
              </w:rPr>
            </w:pPr>
            <w:r>
              <w:rPr>
                <w:rFonts w:ascii="Arial" w:eastAsia="Arial" w:hAnsi="Arial" w:cs="Arial"/>
                <w:sz w:val="22"/>
              </w:rPr>
              <w:t>•</w:t>
              <w:tab/>
              <w:t>Assessment data will demonstrate strong academic growth among students.</w:t>
              <w:br/>
              <w:t>•</w:t>
              <w:tab/>
              <w:t>Planning documentation will include learning activities designed to promote student voice and agency.</w:t>
              <w:br/>
              <w:t>•</w:t>
              <w:tab/>
              <w:t>Staff surveys will indicate increased knowledge and understanding of voice and agency.</w:t>
              <w:br/>
              <w:t>•</w:t>
              <w:tab/>
              <w:t>Student feedback will reflect positive perceptions of voice and agency in the classroom.</w:t>
              <w:br/>
              <w:t>•</w:t>
              <w:tab/>
              <w:t>Student surveys will demonstrate a clear understanding of the concepts of voice and agency.</w:t>
            </w:r>
          </w:p>
        </w:tc>
      </w:tr>
      <w:tr w:rsidTr="006C7A56">
        <w:tblPrEx>
          <w:tblW w:w="15115" w:type="dxa"/>
          <w:tblCellMar>
            <w:top w:w="115" w:type="dxa"/>
            <w:left w:w="115" w:type="dxa"/>
            <w:bottom w:w="115" w:type="dxa"/>
            <w:right w:w="115" w:type="dxa"/>
          </w:tblCellMar>
          <w:tblLook w:val="04A0"/>
        </w:tblPrEx>
        <w:trPr>
          <w:trHeight w:val="549"/>
        </w:trPr>
        <w:tc>
          <w:tcPr>
            <w:tcW w:w="6205" w:type="dxa"/>
            <w:gridSpan w:val="2"/>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Activities</w:t>
            </w:r>
          </w:p>
        </w:tc>
        <w:tc>
          <w:tcPr>
            <w:tcW w:w="315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 xml:space="preserve">People </w:t>
            </w:r>
            <w:r w:rsidRPr="002F40EA" w:rsidR="00802D4E">
              <w:rPr>
                <w:szCs w:val="24"/>
                <w:lang w:val="en-AU"/>
              </w:rPr>
              <w:t>r</w:t>
            </w:r>
            <w:r w:rsidRPr="002F40EA">
              <w:rPr>
                <w:szCs w:val="24"/>
                <w:lang w:val="en-AU"/>
              </w:rPr>
              <w:t>esponsible</w:t>
            </w:r>
          </w:p>
        </w:tc>
        <w:tc>
          <w:tcPr>
            <w:tcW w:w="1530" w:type="dxa"/>
            <w:shd w:val="clear" w:color="auto" w:fill="D9D9D9" w:themeFill="background1" w:themeFillShade="D9"/>
          </w:tcPr>
          <w:p w:rsidR="003E1FC6" w:rsidRPr="002F40EA" w:rsidP="00103446">
            <w:pPr>
              <w:pStyle w:val="Heading3"/>
              <w:spacing w:before="0" w:after="0"/>
              <w:rPr>
                <w:szCs w:val="24"/>
                <w:lang w:val="en-AU"/>
              </w:rPr>
            </w:pPr>
            <w:r w:rsidRPr="002F40EA">
              <w:rPr>
                <w:szCs w:val="24"/>
                <w:lang w:val="en-AU"/>
              </w:rPr>
              <w:t xml:space="preserve">Is this a </w:t>
            </w:r>
            <w:r w:rsidRPr="002F40EA" w:rsidR="00103446">
              <w:rPr>
                <w:szCs w:val="24"/>
                <w:lang w:val="en-AU"/>
              </w:rPr>
              <w:t>PL</w:t>
            </w:r>
            <w:r w:rsidRPr="002F40EA">
              <w:rPr>
                <w:szCs w:val="24"/>
                <w:lang w:val="en-AU"/>
              </w:rPr>
              <w:t xml:space="preserve"> </w:t>
            </w:r>
            <w:r w:rsidRPr="002F40EA" w:rsidR="00802D4E">
              <w:rPr>
                <w:szCs w:val="24"/>
                <w:lang w:val="en-AU"/>
              </w:rPr>
              <w:t>p</w:t>
            </w:r>
            <w:r w:rsidRPr="002F40EA">
              <w:rPr>
                <w:szCs w:val="24"/>
                <w:lang w:val="en-AU"/>
              </w:rPr>
              <w:t>riority</w:t>
            </w:r>
          </w:p>
        </w:tc>
        <w:tc>
          <w:tcPr>
            <w:tcW w:w="207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When</w:t>
            </w:r>
          </w:p>
        </w:tc>
        <w:tc>
          <w:tcPr>
            <w:tcW w:w="2160" w:type="dxa"/>
            <w:shd w:val="clear" w:color="auto" w:fill="D9D9D9" w:themeFill="background1" w:themeFillShade="D9"/>
          </w:tcPr>
          <w:p w:rsidR="003E1FC6" w:rsidRPr="002F40EA" w:rsidP="00FA4D4A">
            <w:pPr>
              <w:pStyle w:val="Heading3"/>
              <w:spacing w:before="0" w:after="0"/>
              <w:rPr>
                <w:szCs w:val="24"/>
                <w:lang w:val="en-AU"/>
              </w:rPr>
            </w:pPr>
            <w:r w:rsidRPr="002F40EA">
              <w:rPr>
                <w:szCs w:val="24"/>
                <w:lang w:val="en-AU"/>
              </w:rPr>
              <w:t>Activity cost and funding streams</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Ensure adequate staffing and professional learning opportunities are available to support the implementation of High Impact Teaching Strategies and the integration of student voice and agency.</w:t>
              <w:br/>
              <w:t>Distribute equity funding based on need to provide support for students requiring additional wellbeing assistance, including those from Koorie backgrounds.</w:t>
              <w:br/>
              <w:t>Utilise Learning Specialists and KLA leaders to provide targeted coaching and support to teachers, promoting instructional consistency and a cohesive pedagogical approach across the school. This will involve regular classroom observations and student shadowing to track student progress.</w:t>
              <w:br/>
              <w:t>Regularly review planning documentation to ensure that learning activities incorporate opportunities for student voice and agency.</w:t>
              <w:br/>
              <w:t>Oversee the creation and implementation of the action plan, including decisions regarding staff roles and responsibilities.</w:t>
              <w:br/>
              <w:t>Allocate funding to engage external experts to deliver professional development to staff.</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$50,000.00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p>
            <w:r>
              <w:rPr>
                <w:rFonts w:ascii="Wingdings" w:eastAsia="Wingdings" w:hAnsi="Wingdings" w:cs="Wingdings"/>
                <w:color w:val="008000"/>
                <w:sz w:val="24"/>
              </w:rPr>
              <w:sym w:font="Wingdings" w:char="F0FE"/>
            </w:r>
            <w:r>
              <w:rPr>
                <w:rFonts w:ascii="Arial" w:eastAsia="Arial" w:hAnsi="Arial" w:cs="Arial"/>
                <w:color w:val="000000"/>
                <w:sz w:val="22"/>
              </w:rPr>
              <w:t xml:space="preserve"> Schools Mental Health Menu items will be used which may include DET funded or free items</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Deliver professional development aligned with an established plan, showcasing exemplary practices that promote student voice and agency.</w:t>
              <w:br/>
              <w:t>Create a strategic plan outlining how the school's internal expertise will be utilised to observe, model, coach, and support teachers in effectively implementing strategies that empower student voice and agency.</w:t>
              <w:br/>
              <w:t>Provide teachers with consistent and constructive feedback regarding their use of data, coaching strategies, and lesson planning to foster student voice and agency.</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Learning specialist(s)</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$4,500.00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Provide targeted feedback on lesson plans, emphasising the effective integration of student voice and agency.</w:t>
              <w:br/>
              <w:t>Deliver professional development aligned with an established plan, showcasing exemplary practices in areas such as High Impact Wellbeing Strategies, promoting student voice and agency, and effective data analysis.</w:t>
              <w:br/>
              <w:t>Conduct regular audits of fortnightly programs to ensure the quality and effectiveness of lesson planning.</w:t>
              <w:br/>
              <w:t>Develop a plan to leverage internal expertise for mentoring, coaching, and supporting teachers in implementing strategies that promote student voice and agency.</w:t>
              <w:br/>
              <w:t>Lead professional discussions focused on age-appropriate teaching strategies that enhance student voice and agency.</w:t>
              <w:br/>
              <w:t>Regularly review student wellbeing data to monitor progress, evaluate program impact, and make any necessary adjustments to strategies.</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KLA leader</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$4,000.00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r w:rsidTr="00AF3BC2">
        <w:tblPrEx>
          <w:tblW w:w="15115" w:type="dxa"/>
          <w:tblCellMar>
            <w:top w:w="115" w:type="dxa"/>
            <w:left w:w="115" w:type="dxa"/>
            <w:bottom w:w="115" w:type="dxa"/>
            <w:right w:w="115" w:type="dxa"/>
          </w:tblCellMar>
          <w:tblLook w:val="04A0"/>
        </w:tblPrEx>
        <w:trPr>
          <w:trHeight w:val="20"/>
        </w:trPr>
        <w:tc>
          <w:tcPr>
            <w:tcW w:w="6205" w:type="dxa"/>
            <w:gridSpan w:val="2"/>
            <w:noWrap w:val="0"/>
          </w:tcPr>
          <w:p w:rsidR="003E1FC6" w:rsidRPr="002F40EA" w:rsidP="00AF3BC2">
            <w:pPr>
              <w:pStyle w:val="ESBodyText"/>
              <w:spacing w:after="0"/>
              <w:rPr>
                <w:sz w:val="20"/>
                <w:szCs w:val="24"/>
                <w:lang w:val="en-AU"/>
              </w:rPr>
            </w:pPr>
            <w:r>
              <w:rPr>
                <w:rFonts w:ascii="Arial" w:eastAsia="Arial" w:hAnsi="Arial" w:cs="Arial"/>
                <w:sz w:val="22"/>
              </w:rPr>
              <w:t>Actively participate in professional learning to further develop teaching practices.</w:t>
              <w:br/>
              <w:t>Investigate and implement innovative teaching approaches and philosophies discovered through professional development.</w:t>
              <w:br/>
              <w:t>Utilise assessment data and student surveys to track student progress and inform instruction.</w:t>
              <w:br/>
              <w:t>Monitor the effectiveness of Professional Learning Communities (PLCs) as they progress through the improvement cycle.</w:t>
              <w:br/>
              <w:t>Explicitly teach essential interpersonal skills that empower students to develop their voice and agency.</w:t>
            </w:r>
          </w:p>
        </w:tc>
        <w:tc>
          <w:tcPr>
            <w:tcW w:w="315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c>
          <w:tcPr>
            <w:tcW w:w="1530" w:type="dxa"/>
          </w:tcPr>
          <w:p w:rsidR="003E1FC6"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PLP Priority</w:t>
            </w:r>
          </w:p>
        </w:tc>
        <w:tc>
          <w:tcPr>
            <w:tcW w:w="2070" w:type="dxa"/>
            <w:noWrap w:val="0"/>
          </w:tcPr>
          <w:p w:rsidR="0016685E" w:rsidRPr="002F40EA" w:rsidP="00AF3BC2">
            <w:pPr>
              <w:pStyle w:val="ESBodyText"/>
              <w:spacing w:after="0"/>
              <w:rPr>
                <w:sz w:val="20"/>
                <w:szCs w:val="24"/>
                <w:lang w:val="en-AU"/>
              </w:rPr>
            </w:pPr>
            <w:r>
              <w:rPr>
                <w:rFonts w:ascii="Arial" w:eastAsia="Arial" w:hAnsi="Arial" w:cs="Arial"/>
                <w:sz w:val="22"/>
              </w:rPr>
              <w:t>from:</w:t>
              <w:br/>
              <w:t>Term 1</w:t>
            </w:r>
          </w:p>
          <w:p>
            <w:r>
              <w:rPr>
                <w:rFonts w:ascii="Arial" w:eastAsia="Arial" w:hAnsi="Arial" w:cs="Arial"/>
                <w:sz w:val="22"/>
              </w:rPr>
              <w:t>to:</w:t>
              <w:br/>
              <w:t>Term 4</w:t>
            </w:r>
          </w:p>
        </w:tc>
        <w:tc>
          <w:tcPr>
            <w:tcW w:w="2160" w:type="dxa"/>
            <w:noWrap w:val="0"/>
          </w:tcPr>
          <w:p w:rsidR="003E1FC6" w:rsidRPr="002F40EA" w:rsidP="00AF3BC2">
            <w:pPr>
              <w:pStyle w:val="ESBodyText"/>
              <w:spacing w:after="0"/>
              <w:rPr>
                <w:sz w:val="20"/>
                <w:szCs w:val="24"/>
                <w:lang w:val="en-AU"/>
              </w:rPr>
            </w:pPr>
            <w:r>
              <w:rPr>
                <w:rFonts w:ascii="Arial" w:eastAsia="Arial" w:hAnsi="Arial" w:cs="Arial"/>
                <w:sz w:val="22"/>
              </w:rPr>
              <w:t>$2,500.00</w:t>
            </w:r>
          </w:p>
          <w:p/>
          <w:p>
            <w:r>
              <w:rPr>
                <w:rFonts w:ascii="Wingdings" w:eastAsia="Wingdings" w:hAnsi="Wingdings" w:cs="Wingdings"/>
                <w:color w:val="008000"/>
                <w:sz w:val="24"/>
              </w:rPr>
              <w:sym w:font="Wingdings" w:char="F0FE"/>
            </w:r>
            <w:r>
              <w:rPr>
                <w:rFonts w:ascii="Arial" w:eastAsia="Arial" w:hAnsi="Arial" w:cs="Arial"/>
                <w:color w:val="000000"/>
                <w:sz w:val="22"/>
              </w:rPr>
              <w:t xml:space="preserve"> Disability Inclusion Tier 2 Funding will be used</w:t>
            </w:r>
          </w:p>
        </w:tc>
      </w:tr>
    </w:tbl>
    <w:p w:rsidR="006307C3" w:rsidRPr="002F40EA" w:rsidP="006C7A56">
      <w:pPr>
        <w:pStyle w:val="ESBodyText"/>
        <w:rPr>
          <w:lang w:val="en-AU"/>
        </w:rPr>
      </w:pPr>
    </w:p>
    <w:p/>
    <w:p/>
    <w:sectPr w:rsidSect="00E36291">
      <w:headerReference w:type="even" r:id="rId15"/>
      <w:headerReference w:type="default" r:id="rId16"/>
      <w:footerReference w:type="default" r:id="rId17"/>
      <w:headerReference w:type="first" r:id="rId18"/>
      <w:pgSz w:w="16838" w:h="11906" w:orient="landscape" w:code="9"/>
      <w:pgMar w:top="1304" w:right="2036" w:bottom="1240" w:left="810" w:header="624" w:footer="532" w:gutter="0"/>
      <w:pgNumType w:start="2"/>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P="002953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43995" w:rsidP="007B2B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RPr="003E29B5" w:rsidP="008766A4">
    <w:r>
      <w:rPr>
        <w:noProof/>
      </w:rPr>
      <w:drawing>
        <wp:anchor distT="0" distB="0" distL="114300" distR="114300" simplePos="0" relativeHeight="251669504" behindDoc="1" locked="0" layoutInCell="1" allowOverlap="1">
          <wp:simplePos x="0" y="0"/>
          <wp:positionH relativeFrom="column">
            <wp:posOffset>-140335</wp:posOffset>
          </wp:positionH>
          <wp:positionV relativeFrom="paragraph">
            <wp:posOffset>86360</wp:posOffset>
          </wp:positionV>
          <wp:extent cx="1980000" cy="590400"/>
          <wp:effectExtent l="0" t="0" r="1270" b="635"/>
          <wp:wrapNone/>
          <wp:docPr id="14" name="Picture 14" descr="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ducation State logo"/>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0000" cy="590400"/>
                  </a:xfrm>
                  <a:prstGeom prst="rect">
                    <a:avLst/>
                  </a:prstGeom>
                  <a:noFill/>
                  <a:ln>
                    <a:noFill/>
                  </a:ln>
                </pic:spPr>
              </pic:pic>
            </a:graphicData>
          </a:graphic>
        </wp:anchor>
      </w:drawing>
    </w:r>
    <w:r w:rsidRPr="003E29B5" w:rsidR="00B329B8">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RPr="00006534" w:rsidP="0091722C">
    <w:pPr>
      <w:pStyle w:val="ESSubheading1"/>
      <w:ind w:firstLine="567"/>
    </w:pPr>
    <w:r w:rsidRPr="0091722C">
      <w:rPr>
        <w:noProof/>
        <w:sz w:val="15"/>
        <w:szCs w:val="15"/>
      </w:rPr>
      <w:t>Dorset Primary School (5132) - 2025 - AIP</w:t>
    </w:r>
    <w:r w:rsidRPr="000C104E" w:rsidR="000C104E">
      <w:rPr>
        <w:noProof/>
        <w:lang w:val="en-AU" w:eastAsia="en-AU"/>
      </w:rPr>
      <w:drawing>
        <wp:anchor distT="0" distB="0" distL="114300" distR="114300" simplePos="0" relativeHeight="25166848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843995"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103446">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5901B0" w:rsidP="005901B0">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5901B0" w:rsidP="005901B0">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pPr>
      <w:pStyle w:val="Header"/>
    </w:pPr>
    <w:r w:rsidRPr="000C104E">
      <w:rPr>
        <w:noProof/>
        <w:lang w:val="en-AU" w:eastAsia="en-AU"/>
      </w:rPr>
      <w:drawing>
        <wp:anchor distT="0" distB="0" distL="114300" distR="114300" simplePos="0" relativeHeight="251666432" behindDoc="1" locked="0" layoutInCell="1" allowOverlap="1">
          <wp:simplePos x="0" y="0"/>
          <wp:positionH relativeFrom="column">
            <wp:posOffset>7838942</wp:posOffset>
          </wp:positionH>
          <wp:positionV relativeFrom="paragraph">
            <wp:posOffset>-331546</wp:posOffset>
          </wp:positionV>
          <wp:extent cx="1991003" cy="7430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5901B0" w:rsidP="005901B0">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5901B0" w:rsidP="005901B0">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RPr="003E29B5" w:rsidP="008766A4">
    <w:r w:rsidRPr="000C104E">
      <w:rPr>
        <w:noProof/>
        <w:lang w:val="en-AU" w:eastAsia="en-AU"/>
      </w:rPr>
      <w:drawing>
        <wp:anchor distT="0" distB="0" distL="114300" distR="114300" simplePos="0" relativeHeight="25166745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336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2.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7A901E2A-48B7-4A50-B243-C9C7FE40A11E}">
  <ds:schemaRefs>
    <ds:schemaRef ds:uri="http://schemas.openxmlformats.org/officeDocument/2006/bibliography"/>
  </ds:schemaRefs>
</ds:datastoreItem>
</file>

<file path=customXml/itemProps5.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2122</TotalTime>
  <Pages>2</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Reshma Karunakaran</cp:lastModifiedBy>
  <cp:revision>85</cp:revision>
  <dcterms:created xsi:type="dcterms:W3CDTF">2017-09-11T05:00:00Z</dcterms:created>
  <dcterms:modified xsi:type="dcterms:W3CDTF">2025-01-22T04:08:00Z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